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DA5977" w:rsidRDefault="002C5E62" w:rsidP="00584EF3">
      <w:pPr>
        <w:pStyle w:val="pzvb-48p"/>
        <w:spacing w:line="240" w:lineRule="auto"/>
        <w:jc w:val="left"/>
        <w:rPr>
          <w:b/>
          <w:bCs/>
          <w:szCs w:val="28"/>
          <w:lang w:val="en-US"/>
        </w:rPr>
      </w:pPr>
      <w:bookmarkStart w:id="0" w:name="_GoBack"/>
      <w:bookmarkEnd w:id="0"/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r w:rsidR="00B23F88" w:rsidRPr="00B23F88">
        <w:rPr>
          <w:b/>
          <w:sz w:val="28"/>
          <w:szCs w:val="28"/>
        </w:rPr>
        <w:t>відзначенн</w:t>
      </w:r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державних та  професійних свят, ювілейних дат, здійснення представницьких та інших заходів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міської ради</w:t>
      </w:r>
      <w:r>
        <w:rPr>
          <w:b/>
          <w:sz w:val="28"/>
          <w:szCs w:val="28"/>
          <w:lang w:val="uk-UA"/>
        </w:rPr>
        <w:t xml:space="preserve"> на 2019 рік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C47D90">
      <w:pPr>
        <w:pStyle w:val="pzvb-48p"/>
        <w:spacing w:line="240" w:lineRule="auto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6D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зв</w:t>
      </w:r>
      <w:r w:rsidRPr="006D7D49">
        <w:rPr>
          <w:color w:val="000000"/>
          <w:sz w:val="28"/>
          <w:szCs w:val="28"/>
          <w:lang w:val="uk-UA"/>
        </w:rPr>
        <w:t>’язків, установлення та підтримання взаємовигідного співробітництва.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D0429D">
      <w:pPr>
        <w:pStyle w:val="pzvb-48p"/>
        <w:spacing w:line="240" w:lineRule="auto"/>
        <w:ind w:left="142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ind w:left="1428"/>
        <w:rPr>
          <w:b/>
          <w:lang w:val="uk-UA"/>
        </w:rPr>
      </w:pPr>
    </w:p>
    <w:p w:rsidR="009E7D09" w:rsidRDefault="009E7D09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розпорядження, визначає порядок проведення представницьких заходів. 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 xml:space="preserve">оплата номерів у готелях; </w:t>
      </w:r>
    </w:p>
    <w:p w:rsidR="002C5E62" w:rsidRPr="006D7D49" w:rsidRDefault="002C5E62" w:rsidP="006D7D49">
      <w:pPr>
        <w:pStyle w:val="pzvb-48p"/>
        <w:numPr>
          <w:ilvl w:val="0"/>
          <w:numId w:val="7"/>
        </w:numPr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придбання та розповсюдження 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left"/>
        <w:rPr>
          <w:lang w:val="uk-UA"/>
        </w:rPr>
      </w:pPr>
    </w:p>
    <w:p w:rsidR="002C5E62" w:rsidRPr="006D7D49" w:rsidRDefault="00E2789B" w:rsidP="006D7D49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20"/>
      <w:bookmarkEnd w:id="1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</w:t>
      </w:r>
      <w:r w:rsidRPr="00C6784D">
        <w:rPr>
          <w:lang w:val="uk-UA"/>
        </w:rPr>
        <w:lastRenderedPageBreak/>
        <w:t xml:space="preserve">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6E2EC9">
      <w:pPr>
        <w:pStyle w:val="pzvb-48p"/>
        <w:spacing w:line="240" w:lineRule="auto"/>
        <w:ind w:left="1428"/>
        <w:jc w:val="both"/>
        <w:rPr>
          <w:lang w:val="uk-UA"/>
        </w:rPr>
      </w:pP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Після підписання комісією акта представницьких витрат ці документи передаються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>відділу бухгалтерського обліку та звітності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C6784D" w:rsidRDefault="002C5E62" w:rsidP="0084678F">
      <w:pPr>
        <w:pStyle w:val="pzvb-48p"/>
        <w:spacing w:line="240" w:lineRule="auto"/>
        <w:rPr>
          <w:lang w:val="uk-UA"/>
        </w:rPr>
      </w:pPr>
      <w:r w:rsidRPr="00C6784D">
        <w:rPr>
          <w:lang w:val="en-US"/>
        </w:rPr>
        <w:t>V</w:t>
      </w:r>
      <w:r w:rsidRPr="00C6784D">
        <w:rPr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</w:t>
      </w:r>
      <w:r w:rsidR="00E2789B" w:rsidRPr="00C6784D">
        <w:rPr>
          <w:lang w:val="uk-UA"/>
        </w:rPr>
        <w:t xml:space="preserve">начальника відділу бухгалтерського обліку та звітності - </w:t>
      </w:r>
      <w:r w:rsidRPr="00C6784D">
        <w:rPr>
          <w:lang w:val="uk-UA"/>
        </w:rPr>
        <w:t xml:space="preserve">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Плановий кошторис (розмір ліміту) складається на календарний рік з урахуванням фактичних підсумків роботи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 Порядок обліку представницьких витрат</w:t>
      </w:r>
    </w:p>
    <w:p w:rsidR="002C5E62" w:rsidRPr="0084678F" w:rsidRDefault="002C5E62" w:rsidP="0084678F">
      <w:pPr>
        <w:pStyle w:val="pzvb-48p"/>
        <w:spacing w:line="240" w:lineRule="auto"/>
        <w:ind w:left="1428"/>
        <w:rPr>
          <w:b/>
          <w:lang w:val="uk-UA"/>
        </w:rPr>
      </w:pP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начальник</w:t>
      </w:r>
      <w:r w:rsidR="00584EF3">
        <w:rPr>
          <w:sz w:val="28"/>
          <w:szCs w:val="28"/>
          <w:lang w:val="uk-UA"/>
        </w:rPr>
        <w:t xml:space="preserve">ом </w:t>
      </w:r>
      <w:r w:rsidR="00584EF3" w:rsidRPr="00584EF3">
        <w:rPr>
          <w:sz w:val="28"/>
          <w:szCs w:val="28"/>
          <w:lang w:val="uk-UA"/>
        </w:rPr>
        <w:t xml:space="preserve"> відділу бухгалтерського обліку та звітності - 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r w:rsidRPr="006D7D49">
        <w:rPr>
          <w:b/>
          <w:lang w:val="en-US"/>
        </w:rPr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 xml:space="preserve">. </w:t>
      </w:r>
      <w:r w:rsidRPr="0084678F">
        <w:rPr>
          <w:b/>
          <w:lang w:val="uk-UA"/>
        </w:rPr>
        <w:t>Зміни Положення</w:t>
      </w:r>
    </w:p>
    <w:p w:rsidR="002C5E62" w:rsidRPr="006D7D49" w:rsidRDefault="002C5E62" w:rsidP="0084678F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sectPr w:rsidR="002C5E62" w:rsidRPr="006D7D49" w:rsidSect="0084678F">
      <w:footerReference w:type="default" r:id="rId8"/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13" w:rsidRDefault="00DC0B13" w:rsidP="00C6784D">
      <w:r>
        <w:separator/>
      </w:r>
    </w:p>
  </w:endnote>
  <w:endnote w:type="continuationSeparator" w:id="0">
    <w:p w:rsidR="00DC0B13" w:rsidRDefault="00DC0B13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EndPr/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43">
          <w:rPr>
            <w:noProof/>
          </w:rPr>
          <w:t>2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13" w:rsidRDefault="00DC0B13" w:rsidP="00C6784D">
      <w:r>
        <w:separator/>
      </w:r>
    </w:p>
  </w:footnote>
  <w:footnote w:type="continuationSeparator" w:id="0">
    <w:p w:rsidR="00DC0B13" w:rsidRDefault="00DC0B13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1D554C"/>
    <w:rsid w:val="00213114"/>
    <w:rsid w:val="00281957"/>
    <w:rsid w:val="002C5E62"/>
    <w:rsid w:val="002D6C66"/>
    <w:rsid w:val="00466060"/>
    <w:rsid w:val="004B47A9"/>
    <w:rsid w:val="00584EF3"/>
    <w:rsid w:val="00625F9B"/>
    <w:rsid w:val="0068673D"/>
    <w:rsid w:val="006D7D49"/>
    <w:rsid w:val="006E2EC9"/>
    <w:rsid w:val="00711D1B"/>
    <w:rsid w:val="00737C09"/>
    <w:rsid w:val="00746747"/>
    <w:rsid w:val="007A796C"/>
    <w:rsid w:val="0084678F"/>
    <w:rsid w:val="008B380A"/>
    <w:rsid w:val="009E7D09"/>
    <w:rsid w:val="00A22A91"/>
    <w:rsid w:val="00A63661"/>
    <w:rsid w:val="00AB308B"/>
    <w:rsid w:val="00B23F88"/>
    <w:rsid w:val="00C41CF1"/>
    <w:rsid w:val="00C47D90"/>
    <w:rsid w:val="00C6784D"/>
    <w:rsid w:val="00D0429D"/>
    <w:rsid w:val="00D8287C"/>
    <w:rsid w:val="00DA2DE1"/>
    <w:rsid w:val="00DA5977"/>
    <w:rsid w:val="00DC0B13"/>
    <w:rsid w:val="00DC2CC4"/>
    <w:rsid w:val="00E2789B"/>
    <w:rsid w:val="00E62D52"/>
    <w:rsid w:val="00E85C13"/>
    <w:rsid w:val="00ED664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2017-03-01T08:53:00Z</cp:lastPrinted>
  <dcterms:created xsi:type="dcterms:W3CDTF">2018-12-17T12:03:00Z</dcterms:created>
  <dcterms:modified xsi:type="dcterms:W3CDTF">2018-12-17T12:03:00Z</dcterms:modified>
</cp:coreProperties>
</file>