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E" w:rsidRDefault="0099731A" w:rsidP="00D64B94">
      <w:pPr>
        <w:spacing w:after="240"/>
        <w:ind w:left="284"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8450" cy="6086475"/>
            <wp:effectExtent l="1905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EE3F9E" w:rsidSect="00D64B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4F" w:rsidRDefault="008D144F" w:rsidP="00D64B94">
      <w:pPr>
        <w:spacing w:after="0" w:line="240" w:lineRule="auto"/>
      </w:pPr>
      <w:r>
        <w:separator/>
      </w:r>
    </w:p>
  </w:endnote>
  <w:endnote w:type="continuationSeparator" w:id="0">
    <w:p w:rsidR="008D144F" w:rsidRDefault="008D144F" w:rsidP="00D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4F" w:rsidRDefault="008D144F" w:rsidP="00D64B94">
      <w:pPr>
        <w:spacing w:after="0" w:line="240" w:lineRule="auto"/>
      </w:pPr>
      <w:r>
        <w:separator/>
      </w:r>
    </w:p>
  </w:footnote>
  <w:footnote w:type="continuationSeparator" w:id="0">
    <w:p w:rsidR="008D144F" w:rsidRDefault="008D144F" w:rsidP="00D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94" w:rsidRDefault="00D64B94" w:rsidP="00D64B94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1A"/>
    <w:rsid w:val="008D144F"/>
    <w:rsid w:val="0099731A"/>
    <w:rsid w:val="009D6EF2"/>
    <w:rsid w:val="00B76E4A"/>
    <w:rsid w:val="00BE5259"/>
    <w:rsid w:val="00D46B8C"/>
    <w:rsid w:val="00D64B94"/>
    <w:rsid w:val="00D65BF3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B94"/>
  </w:style>
  <w:style w:type="paragraph" w:styleId="a7">
    <w:name w:val="footer"/>
    <w:basedOn w:val="a"/>
    <w:link w:val="a8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B94"/>
  </w:style>
  <w:style w:type="paragraph" w:styleId="a7">
    <w:name w:val="footer"/>
    <w:basedOn w:val="a"/>
    <w:link w:val="a8"/>
    <w:uiPriority w:val="99"/>
    <w:unhideWhenUsed/>
    <w:rsid w:val="00D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12416427889206E-2"/>
          <c:y val="8.4175786690923557E-2"/>
          <c:w val="0.60548512441531399"/>
          <c:h val="0.8785197608421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2018р.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сфера аграрної політики та земельних відносин 49%</c:v>
                </c:pt>
                <c:pt idx="1">
                  <c:v>житлово - комунальне господарство, благоустрій, житлова політика 25%</c:v>
                </c:pt>
                <c:pt idx="2">
                  <c:v>соціальний захист населення 16%</c:v>
                </c:pt>
                <c:pt idx="3">
                  <c:v>сімейна політика та захист прав дітей 4%</c:v>
                </c:pt>
                <c:pt idx="4">
                  <c:v>з питань праці та заробітної плати 2,4%</c:v>
                </c:pt>
                <c:pt idx="5">
                  <c:v>з питань екології  та природних ресурсів 1%</c:v>
                </c:pt>
                <c:pt idx="6">
                  <c:v>культура та культурна спадщина, туризм 0,6%</c:v>
                </c:pt>
                <c:pt idx="7">
                  <c:v>фінансова, податкова політика 0,4%</c:v>
                </c:pt>
                <c:pt idx="8">
                  <c:v>освіта і наука 0,2%</c:v>
                </c:pt>
                <c:pt idx="9">
                  <c:v>інше 1,4%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49</c:v>
                </c:pt>
                <c:pt idx="1">
                  <c:v>25</c:v>
                </c:pt>
                <c:pt idx="2" formatCode="General">
                  <c:v>16</c:v>
                </c:pt>
                <c:pt idx="3" formatCode="General">
                  <c:v>4</c:v>
                </c:pt>
                <c:pt idx="4" formatCode="General">
                  <c:v>2.4</c:v>
                </c:pt>
                <c:pt idx="5" formatCode="General">
                  <c:v>1</c:v>
                </c:pt>
                <c:pt idx="6" formatCode="General">
                  <c:v>0.6</c:v>
                </c:pt>
                <c:pt idx="7" formatCode="General">
                  <c:v>0.4</c:v>
                </c:pt>
                <c:pt idx="8" formatCode="General">
                  <c:v>0.2</c:v>
                </c:pt>
                <c:pt idx="9" formatCode="General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04081952442513"/>
          <c:y val="0.13450599925009374"/>
          <c:w val="0.37401888196811217"/>
          <c:h val="0.865494000749906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2</cp:revision>
  <cp:lastPrinted>2019-02-07T11:40:00Z</cp:lastPrinted>
  <dcterms:created xsi:type="dcterms:W3CDTF">2019-02-07T11:41:00Z</dcterms:created>
  <dcterms:modified xsi:type="dcterms:W3CDTF">2019-02-07T11:41:00Z</dcterms:modified>
</cp:coreProperties>
</file>