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77" w:rsidRDefault="0042674F">
      <w:bookmarkStart w:id="0" w:name="_GoBack"/>
      <w:r>
        <w:rPr>
          <w:noProof/>
          <w:lang w:eastAsia="ru-RU"/>
        </w:rPr>
        <w:drawing>
          <wp:inline distT="0" distB="0" distL="0" distR="0" wp14:anchorId="7061F553" wp14:editId="790D7373">
            <wp:extent cx="6057900" cy="81915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CA0E77" w:rsidSect="0045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4F"/>
    <w:rsid w:val="0042674F"/>
    <w:rsid w:val="004572EF"/>
    <w:rsid w:val="00674CDA"/>
    <w:rsid w:val="00BC160E"/>
    <w:rsid w:val="00C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Звернення </a:t>
            </a:r>
            <a:endParaRPr lang="en-US"/>
          </a:p>
          <a:p>
            <a:pPr>
              <a:defRPr/>
            </a:pPr>
            <a:r>
              <a:rPr lang="ru-RU"/>
              <a:t>І півріччя 2019 року</a:t>
            </a:r>
          </a:p>
        </c:rich>
      </c:tx>
      <c:layout>
        <c:manualLayout>
          <c:xMode val="edge"/>
          <c:yMode val="edge"/>
          <c:x val="0.15184229390681003"/>
          <c:y val="3.883495145631067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Звернення І півріччя 2019 року</c:v>
                </c:pt>
              </c:strCache>
            </c:strRef>
          </c:tx>
          <c:cat>
            <c:strRef>
              <c:f>Лист1!$A$2:$A$13</c:f>
              <c:strCache>
                <c:ptCount val="8"/>
                <c:pt idx="0">
                  <c:v>Аграрна політика та земельні відносини 76,8%</c:v>
                </c:pt>
                <c:pt idx="1">
                  <c:v>Житлово - комунальне господарство, благоустрій та житлова політика 11,6%</c:v>
                </c:pt>
                <c:pt idx="2">
                  <c:v>Соціальний захист населення 7,7 %</c:v>
                </c:pt>
                <c:pt idx="3">
                  <c:v>Сімейна політика та захист прав дітей 1,4%</c:v>
                </c:pt>
                <c:pt idx="4">
                  <c:v>Освіта і наука 0,9%</c:v>
                </c:pt>
                <c:pt idx="5">
                  <c:v>Праця та заробітна плата 0,7%</c:v>
                </c:pt>
                <c:pt idx="6">
                  <c:v>Фінансова, податкова політика 0,4%</c:v>
                </c:pt>
                <c:pt idx="7">
                  <c:v>Інше 0,5%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76.8</c:v>
                </c:pt>
                <c:pt idx="1">
                  <c:v>11.6</c:v>
                </c:pt>
                <c:pt idx="2">
                  <c:v>7.7</c:v>
                </c:pt>
                <c:pt idx="3">
                  <c:v>1.4</c:v>
                </c:pt>
                <c:pt idx="4">
                  <c:v>0.9</c:v>
                </c:pt>
                <c:pt idx="5">
                  <c:v>0.7</c:v>
                </c:pt>
                <c:pt idx="6">
                  <c:v>0.4</c:v>
                </c:pt>
                <c:pt idx="7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8"/>
                <c:pt idx="0">
                  <c:v>Аграрна політика та земельні відносини 76,8%</c:v>
                </c:pt>
                <c:pt idx="1">
                  <c:v>Житлово - комунальне господарство, благоустрій та житлова політика 11,6%</c:v>
                </c:pt>
                <c:pt idx="2">
                  <c:v>Соціальний захист населення 7,7 %</c:v>
                </c:pt>
                <c:pt idx="3">
                  <c:v>Сімейна політика та захист прав дітей 1,4%</c:v>
                </c:pt>
                <c:pt idx="4">
                  <c:v>Освіта і наука 0,9%</c:v>
                </c:pt>
                <c:pt idx="5">
                  <c:v>Праця та заробітна плата 0,7%</c:v>
                </c:pt>
                <c:pt idx="6">
                  <c:v>Фінансова, податкова політика 0,4%</c:v>
                </c:pt>
                <c:pt idx="7">
                  <c:v>Інше 0,5%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8"/>
        <c:delete val="1"/>
      </c:legendEntry>
      <c:legendEntry>
        <c:idx val="9"/>
        <c:delete val="1"/>
      </c:legendEntry>
      <c:legendEntry>
        <c:idx val="10"/>
        <c:delete val="1"/>
      </c:legendEntry>
      <c:legendEntry>
        <c:idx val="11"/>
        <c:delete val="1"/>
      </c:legendEntry>
      <c:layout>
        <c:manualLayout>
          <c:xMode val="edge"/>
          <c:yMode val="edge"/>
          <c:x val="0.68594948212118645"/>
          <c:y val="9.0580027011186726E-2"/>
          <c:w val="0.29943973132390711"/>
          <c:h val="0.84438845144356955"/>
        </c:manualLayout>
      </c:layout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rubel</cp:lastModifiedBy>
  <cp:revision>5</cp:revision>
  <cp:lastPrinted>2019-07-29T12:24:00Z</cp:lastPrinted>
  <dcterms:created xsi:type="dcterms:W3CDTF">2019-07-29T10:08:00Z</dcterms:created>
  <dcterms:modified xsi:type="dcterms:W3CDTF">2019-07-30T13:11:00Z</dcterms:modified>
</cp:coreProperties>
</file>