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D" w:rsidRPr="00332469" w:rsidRDefault="00E1533D" w:rsidP="00141411">
      <w:pPr>
        <w:ind w:left="5220"/>
        <w:rPr>
          <w:sz w:val="28"/>
          <w:szCs w:val="28"/>
          <w:lang w:val="uk-UA"/>
        </w:rPr>
      </w:pP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Додаток 1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 рішення виконавчого комітету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від </w:t>
      </w:r>
      <w:r w:rsidR="00A9224D">
        <w:rPr>
          <w:rFonts w:ascii="Times New Roman" w:hAnsi="Times New Roman"/>
          <w:i/>
          <w:sz w:val="24"/>
          <w:szCs w:val="24"/>
          <w:lang w:val="uk-UA" w:eastAsia="ru-RU"/>
        </w:rPr>
        <w:t xml:space="preserve">31 жовтня </w:t>
      </w: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 2019 року № __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702596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1FBD" w:rsidRPr="00AA1EF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ПРОГРАМА                                                                                              ОРГАНІЗАЦІЇ РОБІТ</w:t>
      </w:r>
      <w:r w:rsidR="00BB1FBD" w:rsidRPr="00BB1FBD">
        <w:rPr>
          <w:rFonts w:ascii="Times New Roman" w:hAnsi="Times New Roman"/>
          <w:b/>
          <w:sz w:val="32"/>
          <w:szCs w:val="32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r w:rsidR="00AA1EFD">
        <w:rPr>
          <w:rFonts w:ascii="Times New Roman" w:hAnsi="Times New Roman"/>
          <w:b/>
          <w:sz w:val="32"/>
          <w:szCs w:val="32"/>
          <w:lang w:val="uk-UA"/>
        </w:rPr>
        <w:t>ОСІБ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</w:p>
    <w:p w:rsidR="00BB1FBD" w:rsidRPr="00BB1FB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НА ЯКИХ СУДОМ НАКЛАДЕНО АДМІНІСТРАТИВНЕ СТЯГНЕННЯ  У ВИГЛЯДІ    СУСПІЛЬНО-КОРИСНИХ</w:t>
      </w:r>
    </w:p>
    <w:p w:rsidR="00E1533D" w:rsidRPr="003C0884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 РОБІТ  НА 20</w:t>
      </w:r>
      <w:r w:rsidR="003D23D3"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>ІК</w:t>
      </w: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Pr="00AA1EFD" w:rsidRDefault="00E1533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E1533D" w:rsidRDefault="00E1533D" w:rsidP="00E6314F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E631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</w:p>
    <w:p w:rsidR="00E1533D" w:rsidRPr="003C0884" w:rsidRDefault="00E1533D" w:rsidP="003C0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 рік</w:t>
      </w: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400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програми</w:t>
      </w:r>
      <w:r w:rsidRPr="004824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E1533D" w:rsidRPr="001E4E9C" w:rsidTr="000B3C48">
        <w:trPr>
          <w:trHeight w:val="1050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3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3D23D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1533D" w:rsidRPr="001E4E9C" w:rsidTr="000B3C48">
        <w:trPr>
          <w:trHeight w:val="536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D739A4" w:rsidP="001E4E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E1533D"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тис. гривень</w:t>
            </w:r>
          </w:p>
        </w:tc>
      </w:tr>
    </w:tbl>
    <w:p w:rsidR="00E1533D" w:rsidRPr="00482400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917F7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06B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Pr="005C01D7" w:rsidRDefault="00E1533D" w:rsidP="005C01D7">
      <w:pPr>
        <w:spacing w:after="0" w:line="240" w:lineRule="auto"/>
        <w:rPr>
          <w:rFonts w:ascii="Arial" w:hAnsi="Arial" w:cs="Arial"/>
          <w:color w:val="252121"/>
          <w:sz w:val="21"/>
          <w:szCs w:val="21"/>
          <w:lang w:eastAsia="ru-RU"/>
        </w:rPr>
      </w:pPr>
      <w:r w:rsidRPr="005C01D7">
        <w:rPr>
          <w:rFonts w:ascii="Arial" w:hAnsi="Arial" w:cs="Arial"/>
          <w:color w:val="25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2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Визначення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якої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направлена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Програма</w:t>
      </w:r>
      <w:proofErr w:type="spellEnd"/>
    </w:p>
    <w:p w:rsidR="00E1533D" w:rsidRPr="005C01D7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Закону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07.12.2017 року №2234-VIII «Про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внесення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змін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щодо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посилення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дитини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шляхом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вдосконалення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порядку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статей 31-1, 325-1, 325-4 Кодексу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інтересах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осіб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покарання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 видом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реалізації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політики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За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вимог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вищезазначених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передбачено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суспільно-корисних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особою, яка вчинила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зв’язку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цим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є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необхідність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затвердженні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осіб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накладено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r w:rsidR="003D23D3">
        <w:rPr>
          <w:rFonts w:ascii="Times New Roman" w:hAnsi="Times New Roman"/>
          <w:color w:val="252121"/>
          <w:sz w:val="28"/>
          <w:szCs w:val="28"/>
          <w:lang w:eastAsia="ru-RU"/>
        </w:rPr>
        <w:t>на 20</w:t>
      </w:r>
      <w:r w:rsidR="003D23D3">
        <w:rPr>
          <w:rFonts w:ascii="Times New Roman" w:hAnsi="Times New Roman"/>
          <w:color w:val="252121"/>
          <w:sz w:val="28"/>
          <w:szCs w:val="28"/>
          <w:lang w:val="uk-UA" w:eastAsia="ru-RU"/>
        </w:rPr>
        <w:t>20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3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Мета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AA1EFD" w:rsidRPr="00AA1EFD" w:rsidRDefault="00AA1EF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DA7A5C" w:rsidRDefault="00E1533D" w:rsidP="005C01D7">
      <w:pPr>
        <w:spacing w:after="0" w:line="240" w:lineRule="auto"/>
        <w:ind w:firstLine="720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Метою цієї Програми є:</w:t>
      </w:r>
    </w:p>
    <w:p w:rsidR="00E1533D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4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Основні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шляхи і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способи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</w:p>
    <w:p w:rsidR="00AA1EFD" w:rsidRPr="00AA1EFD" w:rsidRDefault="00AA1EF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Шляхами і способами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проблем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є:</w:t>
      </w:r>
      <w:proofErr w:type="gramEnd"/>
    </w:p>
    <w:p w:rsid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1) визначення переліку об’єктів на яких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планується проведення суспільно корисних робіт, для осіб на яких судом накладено стягнення у в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игляді суспільно-корисних робіт; </w:t>
      </w:r>
    </w:p>
    <w:p w:rsidR="007E4DAB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2) визначення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перелік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у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видів оплачуваних суспільно корисних робіт, для осіб на яких судом призначено стягнення у вигляді суспільно корисних робіт на території Носівської міської ради;</w:t>
      </w:r>
    </w:p>
    <w:p w:rsidR="00E1533D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3) </w:t>
      </w:r>
      <w:r w:rsidR="00E1533D"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інтересів дітей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lastRenderedPageBreak/>
        <w:t>Перелік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комунальне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Носівка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-Комунальник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gramStart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м</w:t>
      </w:r>
      <w:proofErr w:type="gramEnd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іськ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</w:t>
      </w:r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рад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  в рамках Програми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E5537C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ідмітання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сезонн</w:t>
      </w:r>
      <w:proofErr w:type="spellEnd"/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і</w:t>
      </w:r>
      <w:r w:rsidR="00580056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о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благоустрою;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належному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урн,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очищення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їх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ідготовка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заповнення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встановлення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пустих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місця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після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від’їзду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сміттєвоза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завантаження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транспорт;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049D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пішохідних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тротуарних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доріжок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автобусних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зупинок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від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снігу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льоду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знищення бур’янів</w:t>
      </w:r>
      <w:r w:rsidRPr="00E550AB">
        <w:rPr>
          <w:rFonts w:ascii="Times New Roman" w:hAnsi="Times New Roman"/>
          <w:sz w:val="28"/>
          <w:szCs w:val="28"/>
          <w:lang w:val="uk-UA"/>
        </w:rPr>
        <w:t>, косіння трави;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E550AB">
        <w:rPr>
          <w:rFonts w:ascii="Times New Roman" w:hAnsi="Times New Roman"/>
          <w:sz w:val="28"/>
          <w:szCs w:val="28"/>
          <w:lang w:val="uk-UA"/>
        </w:rPr>
        <w:t>иконання підсобних робіт при проведенні ремонту огорож кладовища;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видаленні  аварійних дерев;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усуненні несправностей мережі міського водогону, проведенні ремонту пам’ятників та пам’ятних знаків;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огорож</w:t>
      </w:r>
      <w:proofErr w:type="spellEnd"/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, лавок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вап</w:t>
      </w:r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няне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бордюр</w:t>
      </w:r>
      <w:r w:rsid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;</w:t>
      </w:r>
    </w:p>
    <w:p w:rsidR="00E5537C" w:rsidRPr="00E5537C" w:rsidRDefault="00E5537C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і</w:t>
      </w:r>
      <w:r w:rsidRP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нші види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установи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укладають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r w:rsidR="00580056"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направленими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тимчасові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трудові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договори на участь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інформують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умови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режим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часу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оформляють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звітну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документацію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зайнятих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роботах,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перерахування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або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частки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діючого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рахунок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органу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виконавчої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служби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погашення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5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Завдання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заходи і строки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Основними завданнями програми є:</w:t>
      </w:r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виконання вимог Законодавчих актів України щодо виконання порушниками адміністративного стягнення у вигляді суспільно корисних робіт, в інтересах захисту прав та інтересів дітей та примусового стягнення заборгованості зі сплати аліментів боржниками.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Строки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9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lastRenderedPageBreak/>
        <w:t>6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Очікувані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результати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ефективної реалізації державної політики у сфері захисту прав та інтересів дітей та примусового стягнення зі сплати аліментів боржниками (порушниками) на яких судом накладено адміністративне стягнення у вигляді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7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Обсяги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джерела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буде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здійснюватися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межах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бюджетних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бюджету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інших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заборонених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джерел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Загальний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обсяг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видатків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становить </w:t>
      </w:r>
      <w:r w:rsidR="00450BF0">
        <w:rPr>
          <w:rFonts w:ascii="Times New Roman" w:hAnsi="Times New Roman"/>
          <w:color w:val="252121"/>
          <w:sz w:val="28"/>
          <w:szCs w:val="28"/>
          <w:lang w:val="uk-UA" w:eastAsia="ru-RU"/>
        </w:rPr>
        <w:t>50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тис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рн.</w:t>
      </w:r>
    </w:p>
    <w:p w:rsidR="00450BF0" w:rsidRPr="00450BF0" w:rsidRDefault="00450BF0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8</w:t>
      </w:r>
      <w:r w:rsidRPr="00DA7A5C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. Контроль за реалізацією Програми</w:t>
      </w:r>
    </w:p>
    <w:p w:rsidR="00E1533D" w:rsidRPr="005C01D7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150" w:line="240" w:lineRule="auto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        </w:t>
      </w: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Безпосередній контроль за реалізацією програми здійснює постійна комісія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питань депутатської діяльності й  етики, законності й  правопорядку, охорони прав і законних інтересів громадян</w:t>
      </w:r>
      <w:r w:rsidRPr="005C01D7">
        <w:rPr>
          <w:rFonts w:ascii="Times New Roman" w:hAnsi="Times New Roman"/>
          <w:b/>
          <w:bCs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Координація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заходів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покладається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відділ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житлово-комунального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та благоустрою виконавчого апарату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ради.</w:t>
      </w:r>
    </w:p>
    <w:p w:rsidR="00E1533D" w:rsidRDefault="00E1533D" w:rsidP="00AB5AC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22E3">
        <w:rPr>
          <w:rFonts w:ascii="Times New Roman" w:hAnsi="Times New Roman"/>
          <w:sz w:val="28"/>
          <w:szCs w:val="28"/>
          <w:lang w:val="uk-UA"/>
        </w:rPr>
        <w:t>Після закінчення встановленого строку виконання програми відділ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 w:rsidRPr="000F22E3">
        <w:rPr>
          <w:rFonts w:ascii="Times New Roman" w:hAnsi="Times New Roman"/>
          <w:sz w:val="28"/>
          <w:szCs w:val="28"/>
          <w:lang w:val="uk-UA"/>
        </w:rPr>
        <w:t>міської ради складає інформацію про результати виконання програми і подає її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міської ради у місячний термін після закінчення встановленого строку її виконання.</w:t>
      </w:r>
    </w:p>
    <w:p w:rsidR="00E1533D" w:rsidRPr="005C01D7" w:rsidRDefault="00E1533D" w:rsidP="005C01D7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</w:p>
    <w:p w:rsidR="00E1533D" w:rsidRPr="005C01D7" w:rsidRDefault="00E1533D" w:rsidP="00A06B5A">
      <w:pPr>
        <w:spacing w:after="0" w:line="240" w:lineRule="auto"/>
        <w:rPr>
          <w:lang w:eastAsia="ru-RU"/>
        </w:rPr>
      </w:pPr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>житлово – комунально</w:t>
      </w:r>
      <w:r w:rsidR="00A9224D">
        <w:rPr>
          <w:rFonts w:ascii="Times New Roman" w:hAnsi="Times New Roman"/>
          <w:sz w:val="28"/>
          <w:szCs w:val="28"/>
          <w:lang w:val="uk-UA" w:eastAsia="ru-RU"/>
        </w:rPr>
        <w:t>го господарства</w:t>
      </w:r>
      <w:bookmarkStart w:id="0" w:name="_GoBack"/>
      <w:bookmarkEnd w:id="0"/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О.СИЧОВ</w:t>
      </w:r>
    </w:p>
    <w:p w:rsidR="00E1533D" w:rsidRPr="003C7F26" w:rsidRDefault="00E1533D" w:rsidP="00A06B5A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E1533D" w:rsidRPr="003C7F26" w:rsidSect="000742E2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3D" w:rsidRDefault="00E1533D">
      <w:r>
        <w:separator/>
      </w:r>
    </w:p>
  </w:endnote>
  <w:endnote w:type="continuationSeparator" w:id="0">
    <w:p w:rsidR="00E1533D" w:rsidRDefault="00E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AB36EE" w:rsidP="000742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33D" w:rsidRDefault="00E1533D" w:rsidP="00074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E1533D" w:rsidP="0011770D">
    <w:pPr>
      <w:pStyle w:val="a8"/>
      <w:framePr w:wrap="around" w:vAnchor="text" w:hAnchor="margin" w:xAlign="right" w:y="1"/>
      <w:rPr>
        <w:rStyle w:val="aa"/>
      </w:rPr>
    </w:pPr>
  </w:p>
  <w:p w:rsidR="00E1533D" w:rsidRDefault="00E1533D" w:rsidP="00074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3D" w:rsidRDefault="00E1533D">
      <w:r>
        <w:separator/>
      </w:r>
    </w:p>
  </w:footnote>
  <w:footnote w:type="continuationSeparator" w:id="0">
    <w:p w:rsidR="00E1533D" w:rsidRDefault="00E1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4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EB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E0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649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8B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0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92C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C8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2B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844E7"/>
    <w:multiLevelType w:val="multilevel"/>
    <w:tmpl w:val="3B7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3">
    <w:nsid w:val="680C6A77"/>
    <w:multiLevelType w:val="hybridMultilevel"/>
    <w:tmpl w:val="3E9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31763"/>
    <w:multiLevelType w:val="hybridMultilevel"/>
    <w:tmpl w:val="E9A26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C"/>
    <w:rsid w:val="0001658F"/>
    <w:rsid w:val="00034044"/>
    <w:rsid w:val="000362D0"/>
    <w:rsid w:val="00067F51"/>
    <w:rsid w:val="000742E2"/>
    <w:rsid w:val="000A2B49"/>
    <w:rsid w:val="000B3C48"/>
    <w:rsid w:val="000F22E3"/>
    <w:rsid w:val="0011770D"/>
    <w:rsid w:val="0012201D"/>
    <w:rsid w:val="001410CD"/>
    <w:rsid w:val="00141411"/>
    <w:rsid w:val="001420C3"/>
    <w:rsid w:val="001D639D"/>
    <w:rsid w:val="001E1146"/>
    <w:rsid w:val="001E4E9C"/>
    <w:rsid w:val="00246B18"/>
    <w:rsid w:val="00280D05"/>
    <w:rsid w:val="00291B60"/>
    <w:rsid w:val="002B1F69"/>
    <w:rsid w:val="00332469"/>
    <w:rsid w:val="00346641"/>
    <w:rsid w:val="003C0884"/>
    <w:rsid w:val="003C7F26"/>
    <w:rsid w:val="003D23D3"/>
    <w:rsid w:val="003E0D31"/>
    <w:rsid w:val="00450BF0"/>
    <w:rsid w:val="00452D01"/>
    <w:rsid w:val="0047036B"/>
    <w:rsid w:val="00482400"/>
    <w:rsid w:val="004A6EAD"/>
    <w:rsid w:val="004C59CA"/>
    <w:rsid w:val="0050222C"/>
    <w:rsid w:val="00511449"/>
    <w:rsid w:val="00551C84"/>
    <w:rsid w:val="00555835"/>
    <w:rsid w:val="0056780B"/>
    <w:rsid w:val="00573C5C"/>
    <w:rsid w:val="00580056"/>
    <w:rsid w:val="005801C6"/>
    <w:rsid w:val="005922CE"/>
    <w:rsid w:val="00597816"/>
    <w:rsid w:val="005C01D7"/>
    <w:rsid w:val="005C0C59"/>
    <w:rsid w:val="00645A14"/>
    <w:rsid w:val="00653EDA"/>
    <w:rsid w:val="006A1E8E"/>
    <w:rsid w:val="006A6520"/>
    <w:rsid w:val="006B116E"/>
    <w:rsid w:val="006B11F2"/>
    <w:rsid w:val="00702596"/>
    <w:rsid w:val="007049DD"/>
    <w:rsid w:val="007166B7"/>
    <w:rsid w:val="00720A90"/>
    <w:rsid w:val="00763E77"/>
    <w:rsid w:val="007645BC"/>
    <w:rsid w:val="007751C2"/>
    <w:rsid w:val="007B000E"/>
    <w:rsid w:val="007B5E3A"/>
    <w:rsid w:val="007E4DAB"/>
    <w:rsid w:val="00841DBB"/>
    <w:rsid w:val="00880A24"/>
    <w:rsid w:val="008A1C28"/>
    <w:rsid w:val="008B7117"/>
    <w:rsid w:val="008C3557"/>
    <w:rsid w:val="008C6932"/>
    <w:rsid w:val="0092112E"/>
    <w:rsid w:val="00963811"/>
    <w:rsid w:val="00990629"/>
    <w:rsid w:val="009C6E93"/>
    <w:rsid w:val="00A06B5A"/>
    <w:rsid w:val="00A17D92"/>
    <w:rsid w:val="00A56970"/>
    <w:rsid w:val="00A64A53"/>
    <w:rsid w:val="00A917F7"/>
    <w:rsid w:val="00A9224D"/>
    <w:rsid w:val="00AA1EFD"/>
    <w:rsid w:val="00AB36EE"/>
    <w:rsid w:val="00AB5AC3"/>
    <w:rsid w:val="00AC27F0"/>
    <w:rsid w:val="00AE58B2"/>
    <w:rsid w:val="00B319F0"/>
    <w:rsid w:val="00B77F70"/>
    <w:rsid w:val="00BA3E3B"/>
    <w:rsid w:val="00BB1FBD"/>
    <w:rsid w:val="00BC7D46"/>
    <w:rsid w:val="00C72DBC"/>
    <w:rsid w:val="00C81E8C"/>
    <w:rsid w:val="00CD6B2C"/>
    <w:rsid w:val="00CF5860"/>
    <w:rsid w:val="00D173CC"/>
    <w:rsid w:val="00D34F76"/>
    <w:rsid w:val="00D435BD"/>
    <w:rsid w:val="00D61277"/>
    <w:rsid w:val="00D739A4"/>
    <w:rsid w:val="00DA7A5C"/>
    <w:rsid w:val="00DD0AED"/>
    <w:rsid w:val="00DD1F00"/>
    <w:rsid w:val="00DE3E56"/>
    <w:rsid w:val="00E1533D"/>
    <w:rsid w:val="00E550AB"/>
    <w:rsid w:val="00E5537C"/>
    <w:rsid w:val="00E6314F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F76C-3733-48F0-860A-540C7420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789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Затверджено                                                                           Рішенням  сесії міської</vt:lpstr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Рішенням  сесії міської</dc:title>
  <dc:creator>User</dc:creator>
  <cp:lastModifiedBy>nachorg</cp:lastModifiedBy>
  <cp:revision>11</cp:revision>
  <cp:lastPrinted>2019-03-05T12:42:00Z</cp:lastPrinted>
  <dcterms:created xsi:type="dcterms:W3CDTF">2019-03-18T07:18:00Z</dcterms:created>
  <dcterms:modified xsi:type="dcterms:W3CDTF">2019-10-21T05:43:00Z</dcterms:modified>
</cp:coreProperties>
</file>