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84A" w:rsidRDefault="006B584A" w:rsidP="006B584A">
      <w:pPr>
        <w:spacing w:after="0" w:line="240" w:lineRule="auto"/>
        <w:jc w:val="right"/>
        <w:rPr>
          <w:rFonts w:ascii="Calibri" w:hAnsi="Calibri"/>
          <w:i/>
          <w:lang w:eastAsia="ru-RU"/>
        </w:rPr>
      </w:pPr>
      <w:r w:rsidRPr="00870889">
        <w:rPr>
          <w:rFonts w:ascii="Calibri" w:hAnsi="Calibri"/>
          <w:i/>
          <w:lang w:eastAsia="ru-RU"/>
        </w:rPr>
        <w:t xml:space="preserve">Додаток </w:t>
      </w:r>
      <w:r w:rsidR="002362C9">
        <w:rPr>
          <w:rFonts w:ascii="Calibri" w:hAnsi="Calibri"/>
          <w:i/>
          <w:lang w:eastAsia="ru-RU"/>
        </w:rPr>
        <w:t>2</w:t>
      </w:r>
    </w:p>
    <w:p w:rsidR="006B584A" w:rsidRDefault="006B584A" w:rsidP="006B584A">
      <w:pPr>
        <w:spacing w:after="0" w:line="240" w:lineRule="auto"/>
        <w:jc w:val="right"/>
        <w:rPr>
          <w:i/>
          <w:lang w:eastAsia="ru-RU"/>
        </w:rPr>
      </w:pPr>
      <w:r w:rsidRPr="00870889">
        <w:rPr>
          <w:i/>
          <w:lang w:eastAsia="ru-RU"/>
        </w:rPr>
        <w:t xml:space="preserve">до </w:t>
      </w:r>
      <w:r>
        <w:rPr>
          <w:i/>
          <w:lang w:eastAsia="ru-RU"/>
        </w:rPr>
        <w:t xml:space="preserve">рішення __сесії міської ради  </w:t>
      </w:r>
    </w:p>
    <w:p w:rsidR="006B584A" w:rsidRDefault="006B584A" w:rsidP="006B584A">
      <w:pPr>
        <w:spacing w:after="0" w:line="240" w:lineRule="auto"/>
        <w:jc w:val="right"/>
        <w:rPr>
          <w:i/>
          <w:lang w:eastAsia="ru-RU"/>
        </w:rPr>
      </w:pPr>
      <w:r>
        <w:rPr>
          <w:i/>
          <w:lang w:eastAsia="ru-RU"/>
        </w:rPr>
        <w:t>сьомого скликання</w:t>
      </w:r>
    </w:p>
    <w:p w:rsidR="006B584A" w:rsidRDefault="006B584A" w:rsidP="006B584A">
      <w:pPr>
        <w:spacing w:after="0" w:line="240" w:lineRule="auto"/>
        <w:jc w:val="right"/>
        <w:rPr>
          <w:i/>
          <w:lang w:eastAsia="ru-RU"/>
        </w:rPr>
      </w:pPr>
      <w:r>
        <w:rPr>
          <w:i/>
          <w:lang w:eastAsia="ru-RU"/>
        </w:rPr>
        <w:t>від __ ______ 2019 року № ___</w:t>
      </w:r>
    </w:p>
    <w:p w:rsidR="00427BCE" w:rsidRPr="0069450E" w:rsidRDefault="00D4468C" w:rsidP="00F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Мет</w:t>
      </w:r>
      <w:r w:rsidR="00427BCE"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одика</w:t>
      </w:r>
    </w:p>
    <w:p w:rsidR="00427BCE" w:rsidRPr="0069450E" w:rsidRDefault="00427BCE" w:rsidP="00F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розрахунку орендної плати за майно, що знаходиться</w:t>
      </w:r>
    </w:p>
    <w:p w:rsidR="00427BCE" w:rsidRPr="00810E9F" w:rsidRDefault="00427BCE" w:rsidP="00F53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в комунальній власності </w:t>
      </w:r>
      <w:r w:rsidR="00F53DAA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Носівської</w:t>
      </w: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територіальної громади </w:t>
      </w:r>
    </w:p>
    <w:p w:rsidR="00810E9F" w:rsidRPr="00810E9F" w:rsidRDefault="00810E9F" w:rsidP="00F53DA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та пропорції її розподілу</w:t>
      </w:r>
    </w:p>
    <w:p w:rsidR="00F53DAA" w:rsidRDefault="00F53DAA" w:rsidP="00F53D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27BCE" w:rsidRPr="0069450E" w:rsidRDefault="00427BCE" w:rsidP="001A2B8C">
      <w:pPr>
        <w:numPr>
          <w:ilvl w:val="0"/>
          <w:numId w:val="3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Методику розроблено на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ідставі частини 2 статті 19 Закону України «Про оренду державного і комунального майна», Методики розрахунку орендної плати за державне майно та пропорції її розподілу, затвердженої Постановою Кабінету Міністрів України від 04.10.1995 №786 з метою вдосконалення та впорядкування єдиного організаційно-економічного механізму справляння плати за оренду майна, що знаходиться в комунальній власності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>Носівської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територіальної громади за договорами оренди, які укладаються уповноваженим органом </w:t>
      </w:r>
      <w:proofErr w:type="gramStart"/>
      <w:r w:rsidR="007104AA">
        <w:rPr>
          <w:rFonts w:ascii="Times New Roman" w:hAnsi="Times New Roman" w:cs="Times New Roman"/>
          <w:sz w:val="28"/>
          <w:szCs w:val="28"/>
          <w:lang w:val="ru-RU"/>
        </w:rPr>
        <w:t>–Н</w:t>
      </w:r>
      <w:proofErr w:type="gramEnd"/>
      <w:r w:rsidR="007104AA">
        <w:rPr>
          <w:rFonts w:ascii="Times New Roman" w:hAnsi="Times New Roman" w:cs="Times New Roman"/>
          <w:sz w:val="28"/>
          <w:szCs w:val="28"/>
          <w:lang w:val="ru-RU"/>
        </w:rPr>
        <w:t xml:space="preserve">осівською 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>місько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рад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та з його дозволу – комунальними підприємствами, закладами, установами, організаціями, яким майно передано в господарське відання та оперативне управління.</w:t>
      </w:r>
    </w:p>
    <w:p w:rsidR="00427BCE" w:rsidRPr="009E7418" w:rsidRDefault="00427BCE" w:rsidP="001A2B8C">
      <w:pPr>
        <w:numPr>
          <w:ilvl w:val="0"/>
          <w:numId w:val="3"/>
        </w:numPr>
        <w:tabs>
          <w:tab w:val="clear" w:pos="720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орендної плати встановлюється договором оренди між орендодавцем та орендарем (Форма Типового договору в додатку </w:t>
      </w:r>
      <w:r w:rsidR="0097760E" w:rsidRPr="0097760E">
        <w:rPr>
          <w:rFonts w:ascii="Times New Roman" w:hAnsi="Times New Roman" w:cs="Times New Roman"/>
          <w:sz w:val="28"/>
          <w:szCs w:val="28"/>
          <w:lang w:val="ru-RU"/>
        </w:rPr>
        <w:t>3</w:t>
      </w:r>
      <w:bookmarkStart w:id="0" w:name="_GoBack"/>
      <w:bookmarkEnd w:id="0"/>
      <w:r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="009E7418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Рішення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 xml:space="preserve">Носівської </w:t>
      </w:r>
      <w:r w:rsidR="009E7418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 міської ради</w:t>
      </w:r>
      <w:r w:rsidRPr="009E7418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разі, коли орендодавцем нерухомого майна (будинку, споруди, приміщення) та іншого окремого індивідуально визначеного майна є комунальне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ідприємство, заклад, установа, організація, розрахунки щодо розміру орендної плати погоджуються 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104AA">
        <w:rPr>
          <w:rFonts w:ascii="Times New Roman" w:hAnsi="Times New Roman" w:cs="Times New Roman"/>
          <w:sz w:val="28"/>
          <w:szCs w:val="28"/>
          <w:lang w:val="ru-RU"/>
        </w:rPr>
        <w:t>Носівською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місько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69450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рад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>ою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Якщо майно орендується бюджетними організаціями, орендна плата вноситься за рахунок коштів, передбачених кошторисами на їх утримання.</w:t>
      </w:r>
    </w:p>
    <w:p w:rsidR="00810E9F" w:rsidRDefault="00427BCE" w:rsidP="0090611F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 визначення орендаря на конкурсних засадах орендна плата, розрахована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за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цією Методикою, застосовується як стартова, а її 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може бути збільшено за результатами такого визначення.</w:t>
      </w:r>
    </w:p>
    <w:p w:rsidR="009E7418" w:rsidRPr="00810E9F" w:rsidRDefault="0090611F" w:rsidP="00810E9F">
      <w:pPr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До плати за оренду індивідуально визначеного майна не включаються витрати на 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утримання орендованого майна та плата за послуги, які відповідно до укладених 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   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угод зобов’язуються надавати орендарю комунальне </w:t>
      </w:r>
      <w:proofErr w:type="gramStart"/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ідприємство, заклад, </w:t>
      </w:r>
      <w:r w:rsidR="00810E9F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="00427BCE"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установа, організація, господарське товариство, на балансі яких перебуває це майно. </w:t>
      </w:r>
    </w:p>
    <w:p w:rsidR="00427BCE" w:rsidRDefault="00427BCE" w:rsidP="00810E9F">
      <w:pPr>
        <w:spacing w:after="0" w:line="240" w:lineRule="auto"/>
        <w:jc w:val="both"/>
        <w:rPr>
          <w:lang w:val="ru-RU"/>
        </w:rPr>
      </w:pPr>
      <w:r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Витрати інвалідів, пов’язані з утриманням об’єкта оренди з метою використання </w:t>
      </w:r>
      <w:proofErr w:type="gramStart"/>
      <w:r w:rsidRPr="009E741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9E7418">
        <w:rPr>
          <w:rFonts w:ascii="Times New Roman" w:hAnsi="Times New Roman" w:cs="Times New Roman"/>
          <w:sz w:val="28"/>
          <w:szCs w:val="28"/>
          <w:lang w:val="ru-RU"/>
        </w:rPr>
        <w:t xml:space="preserve">ід гаражі для спеціальних засобів пересування, компенсуються за рахунок Фонду </w:t>
      </w:r>
      <w:r w:rsidR="009E741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r w:rsidRPr="009E7418">
        <w:rPr>
          <w:rFonts w:ascii="Times New Roman" w:hAnsi="Times New Roman" w:cs="Times New Roman"/>
          <w:sz w:val="28"/>
          <w:szCs w:val="28"/>
          <w:lang w:val="ru-RU"/>
        </w:rPr>
        <w:t>соціального захисту інвалідів у порядку, що визначається Мінпраці та Мінфіном</w:t>
      </w:r>
      <w:r w:rsidRPr="009E7418">
        <w:rPr>
          <w:lang w:val="ru-RU"/>
        </w:rPr>
        <w:t>.</w:t>
      </w:r>
    </w:p>
    <w:p w:rsidR="00810E9F" w:rsidRPr="009E7418" w:rsidRDefault="00810E9F" w:rsidP="00810E9F">
      <w:pPr>
        <w:spacing w:after="0" w:line="240" w:lineRule="auto"/>
        <w:jc w:val="both"/>
        <w:rPr>
          <w:lang w:val="ru-RU"/>
        </w:rPr>
      </w:pPr>
    </w:p>
    <w:p w:rsidR="00427BCE" w:rsidRPr="0069450E" w:rsidRDefault="00427BCE" w:rsidP="001A2B8C">
      <w:pPr>
        <w:numPr>
          <w:ilvl w:val="0"/>
          <w:numId w:val="5"/>
        </w:numPr>
        <w:tabs>
          <w:tab w:val="clear" w:pos="720"/>
          <w:tab w:val="num" w:pos="0"/>
        </w:tabs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Орендна плата за цією Методикою розраховується у такій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посл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ідовності: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– визначається розмір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ічної орендної плати;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– на основі розміру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ічної орендної плати встановлюється розмір орендної плати за базовий місяць розрахунку орендної плати – останній місяць, за який визначено індекс інфляції, яка фіксується у договорі оренди;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з урахуванням розміру орендної плати за базовий місяць оренди розраховується 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орендної плати за перший та наступні місяці оренди.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разі, коли термін оренди менший чи більший за одну добу або за один місяць, то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на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основі розміру місячної орендної плати розраховується добова, а в разі необхідності – на основі розміру добової орендної плати розраховується погодинна орендна плата.</w:t>
      </w:r>
    </w:p>
    <w:p w:rsidR="00DB36AB" w:rsidRDefault="00427BCE" w:rsidP="001A2B8C">
      <w:pPr>
        <w:jc w:val="both"/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Розрахунок орендної плати за базовий місяць затверджується орендодавцем.</w:t>
      </w:r>
      <w:r w:rsidR="00DB36AB" w:rsidRPr="00DB36AB">
        <w:t xml:space="preserve"> </w:t>
      </w:r>
    </w:p>
    <w:p w:rsidR="00DB36AB" w:rsidRPr="00DB36AB" w:rsidRDefault="00DB36AB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6AB">
        <w:rPr>
          <w:rFonts w:ascii="Times New Roman" w:hAnsi="Times New Roman" w:cs="Times New Roman"/>
          <w:sz w:val="28"/>
          <w:szCs w:val="28"/>
          <w:lang w:val="ru-RU"/>
        </w:rPr>
        <w:t xml:space="preserve">5. Розмір </w:t>
      </w:r>
      <w:proofErr w:type="gramStart"/>
      <w:r w:rsidRPr="00DB36AB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DB36AB">
        <w:rPr>
          <w:rFonts w:ascii="Times New Roman" w:hAnsi="Times New Roman" w:cs="Times New Roman"/>
          <w:sz w:val="28"/>
          <w:szCs w:val="28"/>
          <w:lang w:val="ru-RU"/>
        </w:rPr>
        <w:t xml:space="preserve">ічної орендної плати за цілісні майнові </w:t>
      </w:r>
      <w:r w:rsidRPr="005D6B46">
        <w:rPr>
          <w:rFonts w:ascii="Times New Roman" w:hAnsi="Times New Roman" w:cs="Times New Roman"/>
          <w:sz w:val="28"/>
          <w:szCs w:val="28"/>
          <w:lang w:val="ru-RU"/>
        </w:rPr>
        <w:t xml:space="preserve">комплекси державних   </w:t>
      </w:r>
      <w:r w:rsidRPr="00DB36AB">
        <w:rPr>
          <w:rFonts w:ascii="Times New Roman" w:hAnsi="Times New Roman" w:cs="Times New Roman"/>
          <w:sz w:val="28"/>
          <w:szCs w:val="28"/>
          <w:lang w:val="ru-RU"/>
        </w:rPr>
        <w:t>підприємств визначається за формулою:</w:t>
      </w:r>
    </w:p>
    <w:p w:rsidR="00DB36AB" w:rsidRP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B36AB">
        <w:rPr>
          <w:rFonts w:ascii="Times New Roman" w:hAnsi="Times New Roman" w:cs="Times New Roman"/>
          <w:b/>
          <w:sz w:val="28"/>
          <w:szCs w:val="28"/>
          <w:lang w:val="ru-RU"/>
        </w:rPr>
        <w:t>Опл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DB36AB">
        <w:rPr>
          <w:rFonts w:ascii="Times New Roman" w:hAnsi="Times New Roman" w:cs="Times New Roman"/>
          <w:b/>
          <w:sz w:val="28"/>
          <w:szCs w:val="28"/>
          <w:lang w:val="ru-RU"/>
        </w:rPr>
        <w:t>=  (Воз + Внм) х Сор</w:t>
      </w:r>
      <w:proofErr w:type="gramStart"/>
      <w:r w:rsidRPr="00DB36AB">
        <w:rPr>
          <w:rFonts w:ascii="Times New Roman" w:hAnsi="Times New Roman" w:cs="Times New Roman"/>
          <w:b/>
          <w:sz w:val="28"/>
          <w:szCs w:val="28"/>
          <w:lang w:val="ru-RU"/>
        </w:rPr>
        <w:t>.ц</w:t>
      </w:r>
      <w:proofErr w:type="gramEnd"/>
      <w:r w:rsidRPr="00DB36A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/100</w:t>
      </w:r>
      <w:r>
        <w:rPr>
          <w:rFonts w:ascii="Times New Roman" w:hAnsi="Times New Roman" w:cs="Times New Roman"/>
          <w:sz w:val="28"/>
          <w:szCs w:val="28"/>
          <w:lang w:val="ru-RU"/>
        </w:rPr>
        <w:t>;де</w:t>
      </w:r>
    </w:p>
    <w:p w:rsid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 xml:space="preserve"> Опл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розмір річної орендної плати, грн.; </w:t>
      </w:r>
    </w:p>
    <w:p w:rsid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>Воз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вартість основних засобів за незалежною оцінкою на час оцінки об'єкта оренди, гривень; </w:t>
      </w:r>
    </w:p>
    <w:p w:rsid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>Внм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вартість нематеріальних активів за незалежною оцінкою на час оцінки об'єкта оренди, гривень; </w:t>
      </w:r>
    </w:p>
    <w:p w:rsidR="00427BCE" w:rsidRPr="00DB36AB" w:rsidRDefault="00DB36AB" w:rsidP="001A2B8C">
      <w:pPr>
        <w:jc w:val="both"/>
        <w:rPr>
          <w:rFonts w:ascii="Times New Roman" w:hAnsi="Times New Roman" w:cs="Times New Roman"/>
          <w:sz w:val="28"/>
          <w:szCs w:val="28"/>
        </w:rPr>
      </w:pPr>
      <w:r w:rsidRPr="00DB36AB">
        <w:rPr>
          <w:rFonts w:ascii="Times New Roman" w:hAnsi="Times New Roman" w:cs="Times New Roman"/>
          <w:b/>
          <w:sz w:val="28"/>
          <w:szCs w:val="28"/>
        </w:rPr>
        <w:t>Сор.ц</w:t>
      </w:r>
      <w:r w:rsidRPr="00DB36AB">
        <w:rPr>
          <w:rFonts w:ascii="Times New Roman" w:hAnsi="Times New Roman" w:cs="Times New Roman"/>
          <w:sz w:val="28"/>
          <w:szCs w:val="28"/>
        </w:rPr>
        <w:t xml:space="preserve"> - орендна ставка за використання цілісних майнових комплексів державних підприємств, визначена згідно з додатком </w:t>
      </w:r>
      <w:r>
        <w:rPr>
          <w:rFonts w:ascii="Times New Roman" w:hAnsi="Times New Roman" w:cs="Times New Roman"/>
          <w:sz w:val="28"/>
          <w:szCs w:val="28"/>
        </w:rPr>
        <w:t xml:space="preserve"> до Методики</w:t>
      </w:r>
      <w:r w:rsidRPr="00DB36AB">
        <w:rPr>
          <w:rFonts w:ascii="Times New Roman" w:hAnsi="Times New Roman" w:cs="Times New Roman"/>
          <w:sz w:val="28"/>
          <w:szCs w:val="28"/>
        </w:rPr>
        <w:t>.</w:t>
      </w:r>
    </w:p>
    <w:p w:rsidR="00427BCE" w:rsidRPr="0069450E" w:rsidRDefault="00DB36AB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6.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Розмір </w:t>
      </w:r>
      <w:proofErr w:type="gramStart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ічної орендної плати у разі оренди іншого, крім нерухомого, окремого індивідуально визначеного майна встановлюється за згодою сторін, але не менше як 10 відсотків вартості орендованого майна за результатами незалежної оцінки, а у разі, коли орендарем є суб’єкт малого підприємництва, – не менш як 7 відсотків вартості орендованого майна за результатами такої оцінки.</w:t>
      </w:r>
    </w:p>
    <w:p w:rsidR="00427BCE" w:rsidRPr="0069450E" w:rsidRDefault="00427BCE" w:rsidP="00833AEB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Незалежна оцінка вартості    об’єкта    оренди    повинна враховувати </w:t>
      </w:r>
      <w:r w:rsidR="00C81A7C"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proofErr w:type="gramStart"/>
      <w:r w:rsidR="00C81A7C">
        <w:rPr>
          <w:rFonts w:ascii="Times New Roman" w:hAnsi="Times New Roman" w:cs="Times New Roman"/>
          <w:sz w:val="28"/>
          <w:szCs w:val="28"/>
          <w:lang w:val="ru-RU"/>
        </w:rPr>
        <w:t>й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ого м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ісцезнаходження і забезпеченість інженерними</w:t>
      </w:r>
      <w:r w:rsidR="00833AE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559D5">
        <w:rPr>
          <w:rFonts w:ascii="Times New Roman" w:hAnsi="Times New Roman" w:cs="Times New Roman"/>
          <w:sz w:val="28"/>
          <w:szCs w:val="28"/>
          <w:lang w:val="ru-RU"/>
        </w:rPr>
        <w:t>м</w:t>
      </w:r>
      <w:r w:rsidR="00833AEB">
        <w:rPr>
          <w:rFonts w:ascii="Times New Roman" w:hAnsi="Times New Roman" w:cs="Times New Roman"/>
          <w:sz w:val="28"/>
          <w:szCs w:val="28"/>
          <w:lang w:val="ru-RU"/>
        </w:rPr>
        <w:t>ережами.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Результати  незалежної  оцінки  є  чинними  протягом  6 місяців 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в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ід дати оцінки, якщо інший термін не передбачено у звіті з незалежної оцінки.</w:t>
      </w:r>
    </w:p>
    <w:p w:rsidR="00427BCE" w:rsidRPr="0069450E" w:rsidRDefault="00427BCE" w:rsidP="001A2B8C">
      <w:pPr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У разі оренди нерухомого майна (крім оренди нерухомого майна фізичними та юридичними особами, зазначеними у пункті </w:t>
      </w:r>
      <w:r w:rsidR="00E2587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цієї Методики) розмір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ічної орендної плати визначається за формулою: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 = (Вп х Сор) / 100; 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де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 – розмір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ічної орендної плати, грн.;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В</w:t>
      </w:r>
      <w:proofErr w:type="gramStart"/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п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–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вартість орендованого майна, визначена шляхом проведення незалежної оцінки, грн.;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Сор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орендна ставка, визначена згідно з додатком до Методики.</w:t>
      </w:r>
    </w:p>
    <w:p w:rsidR="00427BCE" w:rsidRPr="0069450E" w:rsidRDefault="00BF4CA4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DB36AB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Розмір </w:t>
      </w:r>
      <w:proofErr w:type="gramStart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ічної орендної плати за оренду нерухомого майна бюджетними закладами, установами, організаціями, які утримуються за рахунок державного та місцевого бюджетів; державними та комунальними закладами охорони здоров′я, які утримуються за рахунок державного та місцевих бюджетів; державними та комунальними телерадіоорганізаціями; редакціями державних і комунальних періодичних видань та періодичних видань, заснованих об’єднаннями громадян, державними науково-дослідними установами, навчальними закладами, трудовими і журналістськими колективами, </w:t>
      </w:r>
      <w:proofErr w:type="gramStart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ідприємствами зв’язку, що їх розповсюджують; Товариством Червоного Хреста України та його місцевими організаціями; асоціаціями органів місцевого самоврядування із всеукраїнським статусом, а також інвалідами з метою використання </w:t>
      </w:r>
      <w:proofErr w:type="gramStart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ід гаражі для спеціальних засобів пересування </w:t>
      </w:r>
      <w:r w:rsidR="00427BCE"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становить 1 гривню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Орендна плата у 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і, встановленому згідно з абзацом першим цього пункту, не застосовується у разі оренди нерухомого майна для розміщення засобів масової інформації: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–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рекламного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та еротичного характеру;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– заснованих в Україні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м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іжнародними організаціями або за участю юридичних чи фізичних осіб інших держав, осіб без громадянства;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– в яких понад 50 відсотків загального обсягу випуску становлять матеріали зарубіжних засобів масової інформації;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– заснованих за участю юридичних або фізичних осіб, до сфери діяльності яких належить виробництво та постачання паперу, поліграфічного обладнання,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техн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ічних засобів мовлення.</w:t>
      </w:r>
    </w:p>
    <w:p w:rsidR="00427BCE" w:rsidRPr="0069450E" w:rsidRDefault="00BF4CA4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Витрати на утримання нерухомого майна, зданого в оренду одночасно кільком </w:t>
      </w:r>
      <w:proofErr w:type="gramStart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ідприємствам, організаціям, і прибудинкової території, розподіляються між ними залежно від наявності, кількості, потужності, часу роботи електроприладів, систем тепло- і водопостачання, каналізації за спеціальними рахунками, а в 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>неподільній частині – пропорційно розміру займаної підприємствами, організаціями загальної площі.</w:t>
      </w:r>
    </w:p>
    <w:p w:rsidR="00427BCE" w:rsidRPr="0069450E" w:rsidRDefault="00BF4CA4" w:rsidP="001A2B8C">
      <w:pPr>
        <w:ind w:hanging="284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9.</w:t>
      </w:r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Перед розрахунком орендної плати за перший місяць оренди чи </w:t>
      </w:r>
      <w:proofErr w:type="gramStart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427BCE" w:rsidRPr="0069450E">
        <w:rPr>
          <w:rFonts w:ascii="Times New Roman" w:hAnsi="Times New Roman" w:cs="Times New Roman"/>
          <w:sz w:val="28"/>
          <w:szCs w:val="28"/>
          <w:lang w:val="ru-RU"/>
        </w:rPr>
        <w:t>ісля перегляду розміру орендної плати визначається розмір орендної плати за базовий місяць розрахунку за такою формулою: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</w:t>
      </w:r>
      <w:proofErr w:type="gramStart"/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.м</w:t>
      </w:r>
      <w:proofErr w:type="gramEnd"/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іс = (Опл./12)х Ідо х Ім,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де </w:t>
      </w: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Опл.міс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 – розмір орендної плати за місяць, грн.;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Опл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– розмір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ічної орендної плати, визначений за цією Методикою, грн.;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Ідо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 – індекс інфляції за період з дати проведення незалежної або стандартизованої оцінки до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базового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місяця розрахунку орендної плати;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І</w:t>
      </w:r>
      <w:proofErr w:type="gramStart"/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>м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 – індекс інфляції за базовий місяць розрахунку орендної плати.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орендної плати за перший місяць оренди визначається шляхом коригування розміру орендної плати за базовий місяць на індекс інфляції за період з першого числа наступного за базовим місяця до останнього числа першого місяця оренди.</w:t>
      </w:r>
    </w:p>
    <w:p w:rsidR="00427BCE" w:rsidRPr="0069450E" w:rsidRDefault="00427BCE" w:rsidP="001A2B8C">
      <w:pPr>
        <w:numPr>
          <w:ilvl w:val="0"/>
          <w:numId w:val="9"/>
        </w:numPr>
        <w:tabs>
          <w:tab w:val="clear" w:pos="720"/>
          <w:tab w:val="left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орендної плати за кожний наступний місяць визначається шляхом коригування розміру місячної орендної плати за попередній місяць на індекс інфляції за поточний місяць.</w:t>
      </w:r>
    </w:p>
    <w:p w:rsidR="00427BCE" w:rsidRPr="0069450E" w:rsidRDefault="00427BCE" w:rsidP="001A2B8C">
      <w:pPr>
        <w:ind w:left="-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11.Терміни внесення орендної плати визначаються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договорі оренди.</w:t>
      </w:r>
    </w:p>
    <w:p w:rsidR="00427BCE" w:rsidRPr="0069450E" w:rsidRDefault="00427BCE" w:rsidP="001A2B8C">
      <w:pPr>
        <w:numPr>
          <w:ilvl w:val="0"/>
          <w:numId w:val="10"/>
        </w:numPr>
        <w:tabs>
          <w:tab w:val="clear" w:pos="72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Платіжні документи на перерахування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бюджету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або орендодавцеві орендних платежів подаються платниками установам банку до настання терміну платежу.</w:t>
      </w:r>
    </w:p>
    <w:p w:rsidR="00427BCE" w:rsidRPr="0069450E" w:rsidRDefault="00427BCE" w:rsidP="001A2B8C">
      <w:pPr>
        <w:numPr>
          <w:ilvl w:val="0"/>
          <w:numId w:val="10"/>
        </w:numPr>
        <w:tabs>
          <w:tab w:val="clear" w:pos="720"/>
          <w:tab w:val="num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Суми орендної плати, зайво перераховані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бюджету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або орендодавцеві, зараховуються в рахунок наступних платежів або повертаються платникові в 5-денний термін від дня одержання його письмової заяви.</w:t>
      </w:r>
    </w:p>
    <w:p w:rsidR="00427BCE" w:rsidRPr="0069450E" w:rsidRDefault="00427BCE" w:rsidP="001A2B8C">
      <w:pPr>
        <w:numPr>
          <w:ilvl w:val="0"/>
          <w:numId w:val="10"/>
        </w:numPr>
        <w:tabs>
          <w:tab w:val="clear" w:pos="720"/>
          <w:tab w:val="num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плати за суборенду нерухомого та іншого окремого індивідуально визначеного майна розраховується в порядку, встановленому цією Методикою для розрахунку розміру плати за оренду зазначеного майна.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Орендна плата за нерухоме майно, що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передається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в суборенду, визначається з урахуванням частки вартості такого майна у загальній вартості орендованого майна у цінах, застосованих при визначенні розміру орендної плати, і погоджується з орендодавцем.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Плата за суборенду майна у частині, що не перевищує орендної плати за майно, що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передається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в суборенду, сплачується орендарю, який передає в суборенду орендоване ним майно.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lastRenderedPageBreak/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ізниця між нарахованою платою за перший місяць суборенди та тією її частиною, що отримує орендар, погоджується з орендодавцем і перераховується орендарем до </w:t>
      </w:r>
      <w:r w:rsidR="00E911A6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ізниця між нарахованою платою за кожний наступний місяць суборенди і тією її частиною, що отримує орендар, визначається шляхом коригування різниці за попередній місяць на індекс інфляції за поточний місяць.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Контроль за перерахуванням зазначеної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ізниці до </w:t>
      </w:r>
      <w:r w:rsidR="00E911A6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 здійснюється орендодавцем.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У разі суборенди приміщення у буді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вл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і, що входить до складу цілісного майнового комплексу, орендна плата за таке приміщення визначається з урахуванням частки вартості такого приміщення у загальній вартості відповідної будівлі та частки вартості зазначеної будівлі у загальній вартості орендованих основних засобів цілісного майнового комплексу.</w:t>
      </w:r>
    </w:p>
    <w:p w:rsidR="00427BCE" w:rsidRPr="0069450E" w:rsidRDefault="00427BCE" w:rsidP="001A2B8C">
      <w:pPr>
        <w:numPr>
          <w:ilvl w:val="0"/>
          <w:numId w:val="11"/>
        </w:numPr>
        <w:tabs>
          <w:tab w:val="clear" w:pos="720"/>
          <w:tab w:val="left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У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разі якщо на момент продовження дії договору оренди остання оцінка об’єкта оренди була зроблена більш як за три роки до цього, для продовження (поновлення) договору оренди провадиться оцінка об’єкта оренди.</w:t>
      </w:r>
    </w:p>
    <w:p w:rsidR="00427BCE" w:rsidRPr="0069450E" w:rsidRDefault="00427BCE" w:rsidP="001A2B8C">
      <w:pPr>
        <w:numPr>
          <w:ilvl w:val="0"/>
          <w:numId w:val="11"/>
        </w:numPr>
        <w:tabs>
          <w:tab w:val="clear" w:pos="720"/>
          <w:tab w:val="num" w:pos="0"/>
        </w:tabs>
        <w:ind w:left="0" w:hanging="426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 коли орендодавцем майна є орган, якому </w:t>
      </w:r>
      <w:r w:rsidR="0085460C">
        <w:rPr>
          <w:rFonts w:ascii="Times New Roman" w:hAnsi="Times New Roman" w:cs="Times New Roman"/>
          <w:sz w:val="28"/>
          <w:szCs w:val="28"/>
          <w:lang w:val="ru-RU"/>
        </w:rPr>
        <w:t>міською</w:t>
      </w:r>
      <w:r w:rsidRPr="0085460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85460C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адою надані повноваження щодо здачі в оренду комунального майна, орендна плата спрямовується у розмі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 100 відсотків до </w:t>
      </w:r>
      <w:r w:rsidR="0085460C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85460C">
        <w:rPr>
          <w:rFonts w:ascii="Times New Roman" w:hAnsi="Times New Roman" w:cs="Times New Roman"/>
          <w:color w:val="FF0000"/>
          <w:sz w:val="28"/>
          <w:szCs w:val="28"/>
          <w:lang w:val="ru-RU"/>
        </w:rPr>
        <w:t xml:space="preserve"> 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бюджету.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У разі, коли орендодавцем майна є комунальні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ідприємства, заклади, установи, організації </w:t>
      </w:r>
      <w:r w:rsidR="00EE199C">
        <w:rPr>
          <w:rFonts w:ascii="Times New Roman" w:hAnsi="Times New Roman" w:cs="Times New Roman"/>
          <w:sz w:val="28"/>
          <w:szCs w:val="28"/>
          <w:lang w:val="ru-RU"/>
        </w:rPr>
        <w:t>Носівської</w:t>
      </w:r>
      <w:r w:rsidR="00BA5C3C" w:rsidRPr="00BA5C3C">
        <w:rPr>
          <w:rFonts w:ascii="Times New Roman" w:hAnsi="Times New Roman" w:cs="Times New Roman"/>
          <w:sz w:val="28"/>
          <w:szCs w:val="28"/>
          <w:lang w:val="ru-RU"/>
        </w:rPr>
        <w:t xml:space="preserve"> міської ради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а) орендна плата за окреме індивідуально визначене майно (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кр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ім нерухомого) підприємства, установи, організації спрямовується комунальному підприємству, закладу, установі, організації;</w:t>
      </w:r>
    </w:p>
    <w:p w:rsidR="00427BCE" w:rsidRPr="0069450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б) за нерухоме майно – 70 відсотків орендної плати спрямовується комунальному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ідприємству, установі, організації, 30 відсотків до </w:t>
      </w:r>
      <w:r w:rsidR="0069450E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бюджету. При цьому орендар сплачує 100 відсотків орендної плати орендодавцю, з яких 30 відсотків орендодавець перераховує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до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9450E">
        <w:rPr>
          <w:rFonts w:ascii="Times New Roman" w:hAnsi="Times New Roman" w:cs="Times New Roman"/>
          <w:sz w:val="28"/>
          <w:szCs w:val="28"/>
          <w:lang w:val="ru-RU"/>
        </w:rPr>
        <w:t>міського</w:t>
      </w: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 бюджету.</w:t>
      </w:r>
    </w:p>
    <w:p w:rsidR="00427BCE" w:rsidRDefault="00427BCE" w:rsidP="001A2B8C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 xml:space="preserve">Кошти, отримані </w:t>
      </w:r>
      <w:proofErr w:type="gramStart"/>
      <w:r w:rsidRPr="0069450E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Pr="0069450E">
        <w:rPr>
          <w:rFonts w:ascii="Times New Roman" w:hAnsi="Times New Roman" w:cs="Times New Roman"/>
          <w:sz w:val="28"/>
          <w:szCs w:val="28"/>
          <w:lang w:val="ru-RU"/>
        </w:rPr>
        <w:t>ідприємством, установою, організацією від здачі в оренду комунального майна, мають спрямовуватися на його відновлення та утримання в належному технічному стані.</w:t>
      </w:r>
    </w:p>
    <w:p w:rsidR="00427BCE" w:rsidRDefault="00740DD0" w:rsidP="00427BC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ab/>
      </w:r>
    </w:p>
    <w:p w:rsidR="00EE199C" w:rsidRDefault="00EE199C" w:rsidP="00427BCE">
      <w:pPr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EE199C" w:rsidRPr="0069450E" w:rsidRDefault="00EE199C" w:rsidP="00427B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0810D9" w:rsidRPr="000810D9" w:rsidRDefault="000810D9" w:rsidP="00EE199C">
      <w:pPr>
        <w:pStyle w:val="rvps7"/>
        <w:shd w:val="clear" w:color="auto" w:fill="FFFFFF"/>
        <w:spacing w:before="0" w:beforeAutospacing="0" w:after="0" w:afterAutospacing="0"/>
        <w:ind w:left="448" w:right="448"/>
        <w:jc w:val="right"/>
        <w:textAlignment w:val="baseline"/>
        <w:rPr>
          <w:sz w:val="28"/>
          <w:szCs w:val="28"/>
          <w:lang w:val="uk-UA"/>
        </w:rPr>
      </w:pPr>
      <w:r w:rsidRPr="000810D9">
        <w:rPr>
          <w:sz w:val="28"/>
          <w:szCs w:val="28"/>
          <w:lang w:val="uk-UA"/>
        </w:rPr>
        <w:lastRenderedPageBreak/>
        <w:t xml:space="preserve">  Додаток </w:t>
      </w:r>
    </w:p>
    <w:p w:rsidR="000810D9" w:rsidRPr="000810D9" w:rsidRDefault="000810D9" w:rsidP="00EE199C">
      <w:pPr>
        <w:pStyle w:val="rvps7"/>
        <w:shd w:val="clear" w:color="auto" w:fill="FFFFFF"/>
        <w:spacing w:before="0" w:beforeAutospacing="0" w:after="0" w:afterAutospacing="0"/>
        <w:ind w:left="448" w:right="448"/>
        <w:jc w:val="right"/>
        <w:textAlignment w:val="baseline"/>
        <w:rPr>
          <w:sz w:val="28"/>
          <w:szCs w:val="28"/>
          <w:lang w:val="uk-UA"/>
        </w:rPr>
      </w:pPr>
      <w:r w:rsidRPr="000810D9">
        <w:rPr>
          <w:sz w:val="28"/>
          <w:szCs w:val="28"/>
          <w:lang w:val="uk-UA"/>
        </w:rPr>
        <w:t xml:space="preserve"> до Методики</w:t>
      </w:r>
    </w:p>
    <w:p w:rsidR="000810D9" w:rsidRDefault="000810D9" w:rsidP="00EE199C">
      <w:pPr>
        <w:pStyle w:val="rvps7"/>
        <w:shd w:val="clear" w:color="auto" w:fill="FFFFFF"/>
        <w:spacing w:before="0" w:beforeAutospacing="0" w:after="0" w:afterAutospacing="0"/>
        <w:ind w:left="448" w:right="448"/>
        <w:jc w:val="right"/>
        <w:textAlignment w:val="baseline"/>
        <w:rPr>
          <w:sz w:val="28"/>
          <w:szCs w:val="28"/>
          <w:lang w:val="uk-UA"/>
        </w:rPr>
      </w:pPr>
      <w:r w:rsidRPr="000810D9">
        <w:rPr>
          <w:sz w:val="28"/>
          <w:szCs w:val="28"/>
          <w:lang w:val="uk-UA"/>
        </w:rPr>
        <w:t>розрахунку орендної плати</w:t>
      </w:r>
    </w:p>
    <w:p w:rsidR="000810D9" w:rsidRDefault="000810D9" w:rsidP="000810D9">
      <w:pPr>
        <w:pStyle w:val="rvps7"/>
        <w:shd w:val="clear" w:color="auto" w:fill="FFFFFF"/>
        <w:spacing w:before="0" w:beforeAutospacing="0" w:after="0" w:afterAutospacing="0"/>
        <w:ind w:left="450" w:right="450"/>
        <w:jc w:val="right"/>
        <w:textAlignment w:val="baseline"/>
        <w:rPr>
          <w:sz w:val="28"/>
          <w:szCs w:val="28"/>
          <w:lang w:val="uk-UA"/>
        </w:rPr>
      </w:pPr>
    </w:p>
    <w:p w:rsidR="000810D9" w:rsidRDefault="000810D9" w:rsidP="000810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sz w:val="28"/>
          <w:szCs w:val="28"/>
          <w:lang w:val="uk-UA"/>
        </w:rPr>
      </w:pPr>
    </w:p>
    <w:p w:rsidR="000810D9" w:rsidRPr="000810D9" w:rsidRDefault="00427BCE" w:rsidP="000810D9">
      <w:pPr>
        <w:pStyle w:val="rvps7"/>
        <w:shd w:val="clear" w:color="auto" w:fill="FFFFFF"/>
        <w:spacing w:before="0" w:beforeAutospacing="0" w:after="0" w:afterAutospacing="0"/>
        <w:ind w:left="450" w:right="450"/>
        <w:jc w:val="center"/>
        <w:textAlignment w:val="baseline"/>
        <w:rPr>
          <w:color w:val="000000"/>
        </w:rPr>
      </w:pPr>
      <w:r w:rsidRPr="0069450E">
        <w:rPr>
          <w:sz w:val="28"/>
          <w:szCs w:val="28"/>
        </w:rPr>
        <w:t>  </w:t>
      </w:r>
      <w:r w:rsidR="000810D9" w:rsidRPr="000810D9">
        <w:rPr>
          <w:b/>
          <w:bCs/>
          <w:color w:val="000000"/>
          <w:sz w:val="28"/>
          <w:szCs w:val="28"/>
          <w:bdr w:val="none" w:sz="0" w:space="0" w:color="auto" w:frame="1"/>
        </w:rPr>
        <w:t>ОРЕНДНІ СТАВКИ </w:t>
      </w:r>
      <w:r w:rsidR="000810D9" w:rsidRPr="000810D9">
        <w:rPr>
          <w:color w:val="000000"/>
        </w:rPr>
        <w:br/>
      </w:r>
      <w:r w:rsidR="000810D9" w:rsidRPr="000810D9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за використання цілісних майнових комплексів державних </w:t>
      </w:r>
      <w:proofErr w:type="gramStart"/>
      <w:r w:rsidR="000810D9" w:rsidRPr="000810D9">
        <w:rPr>
          <w:b/>
          <w:bCs/>
          <w:color w:val="000000"/>
          <w:sz w:val="28"/>
          <w:szCs w:val="28"/>
          <w:bdr w:val="none" w:sz="0" w:space="0" w:color="auto" w:frame="1"/>
        </w:rPr>
        <w:t>п</w:t>
      </w:r>
      <w:proofErr w:type="gramEnd"/>
      <w:r w:rsidR="000810D9" w:rsidRPr="000810D9">
        <w:rPr>
          <w:b/>
          <w:bCs/>
          <w:color w:val="000000"/>
          <w:sz w:val="28"/>
          <w:szCs w:val="28"/>
          <w:bdr w:val="none" w:sz="0" w:space="0" w:color="auto" w:frame="1"/>
        </w:rPr>
        <w:t>ідприємств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10"/>
        <w:gridCol w:w="1328"/>
      </w:tblGrid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bookmarkStart w:id="1" w:name="n106"/>
            <w:bookmarkEnd w:id="1"/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Найменування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Орендна ставка, відсоткі</w:t>
            </w:r>
            <w:proofErr w:type="gramStart"/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</w:t>
            </w:r>
            <w:proofErr w:type="gramEnd"/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proofErr w:type="gramStart"/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Ц</w:t>
            </w:r>
            <w:proofErr w:type="gramEnd"/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ілісні майнові комплекси державних підприємств: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тютюнової промисловості, лікерогорілчаної та виноробної промисловості, радгоспів заводів (що виробляють виноробну продукцію)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25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 виробництва електричного та електронного устатковання, деревини та виробів з деревини, меблів, з організації концертно-видовищної діяльності та виставкової діяльності, ресторанів, морського, залізничного та автомобільного транспорту, торгівлі, випуску лотерейних білетів та проведення лотерей, кольорової металургії, нафтогазодобувної промисловості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20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електроенергетики, газової, хімічної і нафтохімічної промисловості, чорної металургії, зв'язку, швейної та текстильної промисловості, ресторанного господарства (крім ресторанів), з виробництва транспортних засобів, устатковання та їх ремонту, виробництва машин та устатковання, призначеного для механічного, термічного оброблення матеріалів або здійснення інших операцій, з виробництва гумових та пластмасових виробів, лісового господарства, рибного господарства, целюлозно-паперової промисловості, переробки відходів, видобування неенергетичних матеріалів, з надання додаткових транспортних послуг та допоміжних операцій, паливної промисловості, побутового обслуговування</w:t>
            </w: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16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74575C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57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сільського господарства, харчової промисловості (крім лікеро-горілчаної та виноробної промисловості), радгоспів-заводів, крім тих, що виробляють виноробну продукцію), металообробки, освіти, науки та охорони здоров'я, легкої (крім швейної та текстильної) промисловості, з виробництва будівельних матеріалів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12</w:t>
            </w:r>
          </w:p>
        </w:tc>
      </w:tr>
      <w:tr w:rsidR="000810D9" w:rsidRPr="000810D9" w:rsidTr="000810D9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0810D9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Інші об'єкти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10</w:t>
            </w: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  <w:tr w:rsidR="000810D9" w:rsidRPr="000810D9" w:rsidTr="000810D9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0810D9" w:rsidRPr="000810D9" w:rsidRDefault="000810D9" w:rsidP="000810D9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</w:p>
        </w:tc>
      </w:tr>
    </w:tbl>
    <w:p w:rsidR="00E14BB7" w:rsidRPr="00E14BB7" w:rsidRDefault="00E14BB7" w:rsidP="00427BCE">
      <w:pPr>
        <w:rPr>
          <w:rFonts w:ascii="Times New Roman" w:hAnsi="Times New Roman" w:cs="Times New Roman"/>
          <w:sz w:val="28"/>
          <w:szCs w:val="28"/>
          <w:lang w:val="ru-RU"/>
        </w:rPr>
      </w:pPr>
    </w:p>
    <w:p w:rsidR="00427BCE" w:rsidRPr="0069450E" w:rsidRDefault="000810D9" w:rsidP="000810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10D9">
        <w:rPr>
          <w:rFonts w:ascii="Times New Roman" w:hAnsi="Times New Roman" w:cs="Times New Roman"/>
          <w:b/>
          <w:bCs/>
          <w:sz w:val="28"/>
          <w:szCs w:val="28"/>
        </w:rPr>
        <w:t>ОРЕНДНІ СТАВКИ</w:t>
      </w:r>
    </w:p>
    <w:p w:rsidR="00427BCE" w:rsidRPr="0069450E" w:rsidRDefault="00427BCE" w:rsidP="000810D9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за використання нерухомого майна, що знаходиться в комунальній власності </w:t>
      </w:r>
      <w:r w:rsidR="00EE199C">
        <w:rPr>
          <w:rFonts w:ascii="Times New Roman" w:hAnsi="Times New Roman" w:cs="Times New Roman"/>
          <w:b/>
          <w:bCs/>
          <w:sz w:val="28"/>
          <w:szCs w:val="28"/>
          <w:lang w:val="ru-RU"/>
        </w:rPr>
        <w:t>Носівської</w:t>
      </w:r>
      <w:r w:rsidRPr="0069450E">
        <w:rPr>
          <w:rFonts w:ascii="Times New Roman" w:hAnsi="Times New Roman" w:cs="Times New Roman"/>
          <w:b/>
          <w:bCs/>
          <w:sz w:val="28"/>
          <w:szCs w:val="28"/>
          <w:lang w:val="ru-RU"/>
        </w:rPr>
        <w:t xml:space="preserve"> територіальної громади</w:t>
      </w:r>
    </w:p>
    <w:p w:rsidR="00427BCE" w:rsidRPr="0069450E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5F5F5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"/>
        <w:gridCol w:w="8167"/>
        <w:gridCol w:w="1178"/>
      </w:tblGrid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/п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Використання орендарем нерухомого майна за цільовим призначенням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Орендна ставка, відсоткі</w:t>
            </w:r>
            <w:proofErr w:type="gramStart"/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в</w:t>
            </w:r>
            <w:proofErr w:type="gramEnd"/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казино, інших гральних закладів, гральних автоматі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пун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ктів пр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одажу лотерейних білетів, пунктів обміну валюти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фінансових установ, ломбардів, бірж, брокерських, дилерських, маклерських,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ієлторських контор (агентств нерухомості), банкоматів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ресторанів з нічним режимом роботи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ювелірних виробів, виробів з дорогоцінних металі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дорогоцінного каміння, антикваріату, зброї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офісних приміщень операторів телекомунікацій, які надають послуги рухомого (мобільного) зв’язку, операторі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провайдерів телекомунікацій, які надають послуги доступу до Інтернету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виробників реклами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салонів краси, саун, турецьких лазень, соляріїв, кабінетів масажу, тренажерних залі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автомобілі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зовнішньої реклами на будівлях і спорудах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5.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Організація концерті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іншої видовищно-розважальної діяльності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суб’єктів господарювання, що провадять туроператорську та турагентську діяльність, готелі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22</w:t>
            </w:r>
          </w:p>
        </w:tc>
      </w:tr>
      <w:tr w:rsidR="00EE199C" w:rsidRPr="00EE199C" w:rsidTr="00EE199C">
        <w:trPr>
          <w:trHeight w:val="719"/>
        </w:trPr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суб’єктів господарювання, що провадять діяльність з ремонту об’єктів нерухомості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21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клірингових установ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майстерень, що здійснюють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ічне обслуговування та ремонт автомобілів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майстерень з ремонту ювелірних виробі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ресторані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приватних закладів охорони здоров’я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суб’єктів господарювання, що діють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 приватної власності і провадять господарську діяльність з медичної практики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торговельних об’єктів з продажу окулярів, лінз, скелець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суб’єктів господарювання, що провадять діяльність у сфері права, бухгалтерського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обл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іку та оподаткування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редакцій засобів масової інформації: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        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рекламного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еротичного характеру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         их, що засновані в Україні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іжнародними організаціями або за участю юридичних чи фізичних осіб інших держав, осіб без громадянства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тих, де понад 50 відсотків загального обсягу випуску становлять матеріали іноземних засобів масової інформації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– тих, що засновані за участю суб’єктів господарювання, одним із видів діяльності яких є виробництво та постачання паперу, поліграфічного обладнання,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ічних засобів мовлення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крамниць-складів, магазинів-складі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турбаз, мотелів, кемпінгів, літніх будиночкі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непродовольчих товарів, алкогольних та тютюнових виробі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промислових товарів, що були у використанні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автотоварів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– віде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аудіопродукції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офісних приміщень,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 офісних приміщень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антен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ічних засобів і антен операторів телекомунікацій, які надають послуги рухомого (мобільного) зв’язку, операторів та провайдерів телекомунікацій, які надають послуги доступу до Інтернету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Розміщення фізкультурно-спортивних закладів, діяльність яких спрямована на організацію та проведення занять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ізними видами спорту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суб’єктів господарювання, що надають послуги,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пов’язан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 з переказом грошей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ірж, що мають статус неприбуткових організацій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кафе, барів, закусочних, буфетів, кафетеріїв, що здійснюють продаж товарів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ветеринарних лікарень (клінік), лабораторій ветеринарної медицини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провадять діяльність з організації шлюбних знайомств та весіль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складі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провадять діяльність з вирощування квітів, грибі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13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закладів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ресторанного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господарства з постачання страв, приготовлених централізовано для споживання в інших місцях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послуги з утримання домашніх тварин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12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суб’єктів господарювання, що діють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основ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 приватної власності і надають послуги з перевезення та доставки (вручення) поштових відправлень (кур’єрська служба)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стоянок для автомобілі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комп’ютерних клубі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інтернет-кафе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ветеринарних аптек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рибних господарств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приватних навчальних закладі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шкіл, курсів з навчання водіїв автомобілі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книг, газет і журналів, виданих іноземними мовами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здійснюють проектні, проектно-вишукувальні, проектно-конструкторські роботи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видавництв друкованих засобів масової інформації та видавничої продукції, що друкуються іноземними мовами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редакцій засобів масової інформації,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суб’єктів кінематографії, основною діяльністю яких є кіновиробництво або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ічне забезпечення і обслуговування кіновиробництва за умови, що вони внесені до Державного реєстру виробників, розповсюджувачів і демонстраторів фільмів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інформаційних агентств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15.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виставок непродовольчих товарів без здійснення торгі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вл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торговельних автоматів, що відпускають продовольчі товари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9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8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кафе, барів, закусочних, кафетеріїв, які не здійснюють продаж товарів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аптек, що реалізують готові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торговельних об’єктів з продажу продовольчих товарів,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 товарів підакцизної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ортопедичних виробі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ксерокопіювальної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іки для надання населенню послуг із ксерокопіювання документів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19.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Проведення виставок образотворчої та книжкової продукції, виробленої в Україні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їдалень, буфетів, які не здійснюють продаж товарів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фірмових магазинів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ітчизняних промислових підприємств-товаровиробників, крім тих, що виробляють товари підакцизної групи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об’єктів поштового зв’язку на площі, що використовується для надання послуг поштового зв’язку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послуги з перевезення та доставки (вручення) поштових відправлень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поліграфічної продукції та канцтоварів, ліцензованої віде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о-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аудіопродукції, що призначається для навчальних закладів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21.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державних та комунальних закладів охорони здоров’я, що частково фінансуються за рахунок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державного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та місцевих бюджетів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оздоровчих закладі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дітей та молоді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санаторно-курортних закладі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дітей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державних навчальних закладів, що частково фінансуються з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державного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бюджету, та навчальних закладів, що фінансуються з місцевого бюджету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торговельних об’єктів з продажу книг, газет і журналів, виданих українською мовою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відділень банків на площі, що використовується для здійснення платежі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за житлово-комунальні послуги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здійснюють побутове обслуговування населення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їдалень, буфетів, які не здійснюють продаж товарів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ідакцизної групи, у навчальних закладах та військових частинах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громадських вбиралень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камер схову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видавництв друкованих засобів масової інформації та видавничої продукції, що видаються українською мовою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аптек на площі, що використовується для виготовлення лі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 за рецептами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суб’єктів господарювання, що надають ритуальні послуги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органів місцевого самоврядування та їх добровільних об’єднань (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 асоціацій органів місцевого самоврядування із всеукраїнським статусом)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науково-дослідних установ,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 бюджетних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24.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аптек, які обслуговують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ільгові категорії населення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організацій, що надають послуги з нагляду за особами з фізичними чи розумовими вадами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бібліотек, архіві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 музеїв, крім музеїв, які утримуються за рахунок державного та місцевих бюджетів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дитячих молочних кухонь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торговельних об’єктів з продажу продовольчих товарів для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ільгових категорій громадян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закладів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іального захисту для бездомних громадян, безпритульних дітей та установ, призначених для тимчасового або постійного перебування громадян похилого віку та інвалідів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державних та комунальних позашкільних навчальних закладів (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 оздоровчих закладів для дітей та молоді) та дошкільних навчальних закладів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закладів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соц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іального обслуговування для сімей, дітей та молоді, що утримуються за рахунок місцевого бюджету, зокрема центрів соціально-психологічної реабілітації дітей, соціальних гуртожитків для дітей-сиріт та дітей, позбавлених батьківського піклування, соціальних центрів матері та дитини, центрів соціально-психологічної допомоги, центрів реабілітації дітей та молоді з функціональними обмеженнями, центрів для ВІ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Л-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інфікованих дітей та молоді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Розміщення транспортних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ідприємств з: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перевезення пасажирів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перевезення вантажів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18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Розміщення творчих спілок, громадських об’єднань,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рел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ігійних та благодійних організацій на площі, що не використовується для провадження підприємницької діяльності і становить: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більш як 50 кв. метрі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частини площі, що перевищує 50 кв. метрі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 Розміщення громадських об’єднань інвалідів на площі, що не використовується для провадження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ідприємницької діяльності і становить: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більш як 100 кв. метрі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частини площі, що перевищує 100 кв. метрі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7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28-1.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суб’єктів господарювання, що виготовляють рухомий склад міського електротранспорту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28-2.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Розміщення наукового парку, його засновникі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партнер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ів наукового парку, що реалізують проекти наукового парку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10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28-3.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Розміщення дипломатичних представництв та консульських установ іноземних держав, представництв міжнародних міжурядових організацій в Україні (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ім договорів, орендна плата за якими врегульована міжурядовими угодами)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</w:t>
            </w:r>
          </w:p>
        </w:tc>
      </w:tr>
      <w:tr w:rsidR="00EE199C" w:rsidRPr="00EE199C" w:rsidTr="00EE199C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 Інше використання нерухомого майна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15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Розміщення професійних творчих працівників на площі (творчі майстерні), що не використовується для провадження 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ідприємницької діяльності і становить:</w:t>
            </w:r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 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не більш як 50 кв. метрі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</w:t>
            </w:r>
          </w:p>
        </w:tc>
      </w:tr>
      <w:tr w:rsidR="00427BCE" w:rsidRPr="00EE199C" w:rsidTr="00427BCE"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8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для частини площі, що перевищує 50 кв. метрі</w:t>
            </w:r>
            <w:proofErr w:type="gramStart"/>
            <w:r w:rsidRPr="00EE199C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proofErr w:type="gramEnd"/>
          </w:p>
        </w:tc>
        <w:tc>
          <w:tcPr>
            <w:tcW w:w="10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27BCE" w:rsidRPr="00EE199C" w:rsidRDefault="00427BCE" w:rsidP="00EE199C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E199C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</w:t>
            </w:r>
          </w:p>
        </w:tc>
      </w:tr>
    </w:tbl>
    <w:p w:rsidR="00427BCE" w:rsidRPr="00EE199C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427BCE" w:rsidRPr="00EE199C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427BCE" w:rsidRPr="00EE199C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427BCE" w:rsidRPr="00EE199C" w:rsidRDefault="00427BCE" w:rsidP="00EE199C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E199C">
        <w:rPr>
          <w:rFonts w:ascii="Times New Roman" w:hAnsi="Times New Roman" w:cs="Times New Roman"/>
          <w:b/>
          <w:bCs/>
          <w:sz w:val="28"/>
          <w:szCs w:val="28"/>
          <w:lang w:val="ru-RU"/>
        </w:rPr>
        <w:t> </w:t>
      </w:r>
    </w:p>
    <w:p w:rsidR="00BF4CA4" w:rsidRPr="00EE199C" w:rsidRDefault="00BF4CA4" w:rsidP="00EE199C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4CA4" w:rsidRPr="00EE199C" w:rsidRDefault="00BF4CA4" w:rsidP="00EE199C">
      <w:pPr>
        <w:shd w:val="clear" w:color="auto" w:fill="FFFFFF" w:themeFill="background1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BF4CA4" w:rsidRPr="00EE199C" w:rsidRDefault="00BF4CA4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</w:p>
    <w:p w:rsidR="0074575C" w:rsidRDefault="00427BCE" w:rsidP="00EE199C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  <w:lang w:val="ru-RU"/>
        </w:rPr>
      </w:pPr>
      <w:r w:rsidRPr="0069450E">
        <w:rPr>
          <w:rFonts w:ascii="Times New Roman" w:hAnsi="Times New Roman" w:cs="Times New Roman"/>
          <w:sz w:val="28"/>
          <w:szCs w:val="28"/>
          <w:lang w:val="ru-RU"/>
        </w:rPr>
        <w:t> </w:t>
      </w:r>
    </w:p>
    <w:p w:rsidR="00CF6A0F" w:rsidRPr="0069450E" w:rsidRDefault="00CF6A0F" w:rsidP="00427BCE">
      <w:pPr>
        <w:rPr>
          <w:rFonts w:ascii="Times New Roman" w:hAnsi="Times New Roman" w:cs="Times New Roman"/>
          <w:sz w:val="28"/>
          <w:szCs w:val="28"/>
          <w:lang w:val="ru-RU"/>
        </w:rPr>
      </w:pPr>
    </w:p>
    <w:sectPr w:rsidR="00CF6A0F" w:rsidRPr="0069450E" w:rsidSect="00DB36AB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4244" w:rsidRDefault="00614244" w:rsidP="00AC0F7D">
      <w:pPr>
        <w:spacing w:after="0" w:line="240" w:lineRule="auto"/>
      </w:pPr>
      <w:r>
        <w:separator/>
      </w:r>
    </w:p>
  </w:endnote>
  <w:endnote w:type="continuationSeparator" w:id="0">
    <w:p w:rsidR="00614244" w:rsidRDefault="00614244" w:rsidP="00AC0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4244" w:rsidRDefault="00614244" w:rsidP="00AC0F7D">
      <w:pPr>
        <w:spacing w:after="0" w:line="240" w:lineRule="auto"/>
      </w:pPr>
      <w:r>
        <w:separator/>
      </w:r>
    </w:p>
  </w:footnote>
  <w:footnote w:type="continuationSeparator" w:id="0">
    <w:p w:rsidR="00614244" w:rsidRDefault="00614244" w:rsidP="00AC0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D7A59"/>
    <w:multiLevelType w:val="multilevel"/>
    <w:tmpl w:val="F1E2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64999"/>
    <w:multiLevelType w:val="multilevel"/>
    <w:tmpl w:val="7FEC18A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552797"/>
    <w:multiLevelType w:val="multilevel"/>
    <w:tmpl w:val="E87426A0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3">
    <w:nsid w:val="170C569F"/>
    <w:multiLevelType w:val="multilevel"/>
    <w:tmpl w:val="9334D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1A0120"/>
    <w:multiLevelType w:val="hybridMultilevel"/>
    <w:tmpl w:val="8BB077D2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C766FF"/>
    <w:multiLevelType w:val="multilevel"/>
    <w:tmpl w:val="0178D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D24169C"/>
    <w:multiLevelType w:val="multilevel"/>
    <w:tmpl w:val="42F41A1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D527E7A"/>
    <w:multiLevelType w:val="multilevel"/>
    <w:tmpl w:val="BE24F2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00445C"/>
    <w:multiLevelType w:val="multilevel"/>
    <w:tmpl w:val="891A305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4BF7D9C"/>
    <w:multiLevelType w:val="multilevel"/>
    <w:tmpl w:val="404862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56B2E43"/>
    <w:multiLevelType w:val="multilevel"/>
    <w:tmpl w:val="07A6D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7DD0AB5"/>
    <w:multiLevelType w:val="multilevel"/>
    <w:tmpl w:val="CF7671AA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DC05BE8"/>
    <w:multiLevelType w:val="multilevel"/>
    <w:tmpl w:val="42700E8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2D22BC"/>
    <w:multiLevelType w:val="multilevel"/>
    <w:tmpl w:val="6FC8BEE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4C537E"/>
    <w:multiLevelType w:val="multilevel"/>
    <w:tmpl w:val="BC5C9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B7778A"/>
    <w:multiLevelType w:val="multilevel"/>
    <w:tmpl w:val="93D4D53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290394"/>
    <w:multiLevelType w:val="multilevel"/>
    <w:tmpl w:val="F068865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50C40"/>
    <w:multiLevelType w:val="multilevel"/>
    <w:tmpl w:val="6E58B83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1412BB1"/>
    <w:multiLevelType w:val="hybridMultilevel"/>
    <w:tmpl w:val="C50C003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16B6E1C"/>
    <w:multiLevelType w:val="multilevel"/>
    <w:tmpl w:val="F65CACA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1F63B70"/>
    <w:multiLevelType w:val="multilevel"/>
    <w:tmpl w:val="E7A8C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5C10A8"/>
    <w:multiLevelType w:val="multilevel"/>
    <w:tmpl w:val="3F449C04"/>
    <w:lvl w:ilvl="0">
      <w:start w:val="8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2">
    <w:nsid w:val="56E13D36"/>
    <w:multiLevelType w:val="multilevel"/>
    <w:tmpl w:val="EB268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2E93FB9"/>
    <w:multiLevelType w:val="multilevel"/>
    <w:tmpl w:val="C60E8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379758E"/>
    <w:multiLevelType w:val="multilevel"/>
    <w:tmpl w:val="3314080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65A64FA7"/>
    <w:multiLevelType w:val="multilevel"/>
    <w:tmpl w:val="02DAE89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8D873BA"/>
    <w:multiLevelType w:val="multilevel"/>
    <w:tmpl w:val="E658571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EB441D3"/>
    <w:multiLevelType w:val="multilevel"/>
    <w:tmpl w:val="010EC4B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FA30C8D"/>
    <w:multiLevelType w:val="multilevel"/>
    <w:tmpl w:val="5268E02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FE60C04"/>
    <w:multiLevelType w:val="multilevel"/>
    <w:tmpl w:val="6FFEDC72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9B376C"/>
    <w:multiLevelType w:val="multilevel"/>
    <w:tmpl w:val="BA420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30"/>
  </w:num>
  <w:num w:numId="3">
    <w:abstractNumId w:val="0"/>
  </w:num>
  <w:num w:numId="4">
    <w:abstractNumId w:val="17"/>
  </w:num>
  <w:num w:numId="5">
    <w:abstractNumId w:val="12"/>
  </w:num>
  <w:num w:numId="6">
    <w:abstractNumId w:val="16"/>
  </w:num>
  <w:num w:numId="7">
    <w:abstractNumId w:val="9"/>
  </w:num>
  <w:num w:numId="8">
    <w:abstractNumId w:val="21"/>
  </w:num>
  <w:num w:numId="9">
    <w:abstractNumId w:val="25"/>
  </w:num>
  <w:num w:numId="10">
    <w:abstractNumId w:val="27"/>
  </w:num>
  <w:num w:numId="11">
    <w:abstractNumId w:val="11"/>
  </w:num>
  <w:num w:numId="12">
    <w:abstractNumId w:val="3"/>
  </w:num>
  <w:num w:numId="13">
    <w:abstractNumId w:val="24"/>
  </w:num>
  <w:num w:numId="14">
    <w:abstractNumId w:val="15"/>
  </w:num>
  <w:num w:numId="15">
    <w:abstractNumId w:val="6"/>
  </w:num>
  <w:num w:numId="16">
    <w:abstractNumId w:val="19"/>
  </w:num>
  <w:num w:numId="17">
    <w:abstractNumId w:val="26"/>
  </w:num>
  <w:num w:numId="18">
    <w:abstractNumId w:val="7"/>
  </w:num>
  <w:num w:numId="19">
    <w:abstractNumId w:val="28"/>
  </w:num>
  <w:num w:numId="20">
    <w:abstractNumId w:val="23"/>
  </w:num>
  <w:num w:numId="21">
    <w:abstractNumId w:val="1"/>
  </w:num>
  <w:num w:numId="22">
    <w:abstractNumId w:val="29"/>
  </w:num>
  <w:num w:numId="23">
    <w:abstractNumId w:val="22"/>
  </w:num>
  <w:num w:numId="24">
    <w:abstractNumId w:val="10"/>
  </w:num>
  <w:num w:numId="25">
    <w:abstractNumId w:val="13"/>
  </w:num>
  <w:num w:numId="26">
    <w:abstractNumId w:val="8"/>
  </w:num>
  <w:num w:numId="27">
    <w:abstractNumId w:val="5"/>
  </w:num>
  <w:num w:numId="2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D64"/>
    <w:rsid w:val="00002175"/>
    <w:rsid w:val="00004DBB"/>
    <w:rsid w:val="00014A18"/>
    <w:rsid w:val="00024293"/>
    <w:rsid w:val="00037DDD"/>
    <w:rsid w:val="00040681"/>
    <w:rsid w:val="00053F8B"/>
    <w:rsid w:val="00057C11"/>
    <w:rsid w:val="000617FF"/>
    <w:rsid w:val="000804A7"/>
    <w:rsid w:val="000810D9"/>
    <w:rsid w:val="000841EA"/>
    <w:rsid w:val="000A0B35"/>
    <w:rsid w:val="000B1BA5"/>
    <w:rsid w:val="000D4D9A"/>
    <w:rsid w:val="000E4887"/>
    <w:rsid w:val="000E4AA5"/>
    <w:rsid w:val="000E6ACC"/>
    <w:rsid w:val="000E7A68"/>
    <w:rsid w:val="000F0EED"/>
    <w:rsid w:val="000F62B0"/>
    <w:rsid w:val="000F6AE0"/>
    <w:rsid w:val="001115B4"/>
    <w:rsid w:val="00113A76"/>
    <w:rsid w:val="0012067A"/>
    <w:rsid w:val="00126AB5"/>
    <w:rsid w:val="00134940"/>
    <w:rsid w:val="00145065"/>
    <w:rsid w:val="00150999"/>
    <w:rsid w:val="001551C9"/>
    <w:rsid w:val="00157D27"/>
    <w:rsid w:val="0016199D"/>
    <w:rsid w:val="00195459"/>
    <w:rsid w:val="001A2B8C"/>
    <w:rsid w:val="001A2D28"/>
    <w:rsid w:val="001E058F"/>
    <w:rsid w:val="001E27C0"/>
    <w:rsid w:val="00202054"/>
    <w:rsid w:val="00206EBA"/>
    <w:rsid w:val="0020798C"/>
    <w:rsid w:val="00220F1D"/>
    <w:rsid w:val="0022660A"/>
    <w:rsid w:val="002342C7"/>
    <w:rsid w:val="002362C9"/>
    <w:rsid w:val="00237AE9"/>
    <w:rsid w:val="002544D0"/>
    <w:rsid w:val="00276143"/>
    <w:rsid w:val="00292040"/>
    <w:rsid w:val="002A364E"/>
    <w:rsid w:val="002B04E0"/>
    <w:rsid w:val="002B2DD9"/>
    <w:rsid w:val="002C48F0"/>
    <w:rsid w:val="002F239D"/>
    <w:rsid w:val="002F3603"/>
    <w:rsid w:val="0030081D"/>
    <w:rsid w:val="00326435"/>
    <w:rsid w:val="0033288F"/>
    <w:rsid w:val="003357CD"/>
    <w:rsid w:val="0033585A"/>
    <w:rsid w:val="003638D1"/>
    <w:rsid w:val="00371A16"/>
    <w:rsid w:val="00382E4A"/>
    <w:rsid w:val="003B0D87"/>
    <w:rsid w:val="003B552D"/>
    <w:rsid w:val="003B7DD5"/>
    <w:rsid w:val="003E0345"/>
    <w:rsid w:val="003F0604"/>
    <w:rsid w:val="00404231"/>
    <w:rsid w:val="00405485"/>
    <w:rsid w:val="00411946"/>
    <w:rsid w:val="00427BCE"/>
    <w:rsid w:val="00430504"/>
    <w:rsid w:val="00431D64"/>
    <w:rsid w:val="00445C5E"/>
    <w:rsid w:val="00446F2D"/>
    <w:rsid w:val="00462D9B"/>
    <w:rsid w:val="004753F9"/>
    <w:rsid w:val="0048013D"/>
    <w:rsid w:val="00483BC0"/>
    <w:rsid w:val="00485573"/>
    <w:rsid w:val="0049087A"/>
    <w:rsid w:val="00494720"/>
    <w:rsid w:val="004A2A4B"/>
    <w:rsid w:val="004D3828"/>
    <w:rsid w:val="004D77C5"/>
    <w:rsid w:val="005022A8"/>
    <w:rsid w:val="00504A1A"/>
    <w:rsid w:val="0051496C"/>
    <w:rsid w:val="00535E9C"/>
    <w:rsid w:val="0057007C"/>
    <w:rsid w:val="00582407"/>
    <w:rsid w:val="005D41E4"/>
    <w:rsid w:val="005D6B46"/>
    <w:rsid w:val="005D7C7B"/>
    <w:rsid w:val="005E5E09"/>
    <w:rsid w:val="005F3920"/>
    <w:rsid w:val="00602E22"/>
    <w:rsid w:val="00610F2D"/>
    <w:rsid w:val="00614244"/>
    <w:rsid w:val="00622E44"/>
    <w:rsid w:val="00624F38"/>
    <w:rsid w:val="00632459"/>
    <w:rsid w:val="00635452"/>
    <w:rsid w:val="0064611A"/>
    <w:rsid w:val="0065279E"/>
    <w:rsid w:val="00655EA4"/>
    <w:rsid w:val="00677BEB"/>
    <w:rsid w:val="00690F4F"/>
    <w:rsid w:val="00692488"/>
    <w:rsid w:val="0069450E"/>
    <w:rsid w:val="006A04EC"/>
    <w:rsid w:val="006B584A"/>
    <w:rsid w:val="006C6460"/>
    <w:rsid w:val="006D13B7"/>
    <w:rsid w:val="006E543C"/>
    <w:rsid w:val="00703DC5"/>
    <w:rsid w:val="007051F7"/>
    <w:rsid w:val="007104AA"/>
    <w:rsid w:val="0071508C"/>
    <w:rsid w:val="00716EA2"/>
    <w:rsid w:val="00727CA2"/>
    <w:rsid w:val="00732AE8"/>
    <w:rsid w:val="00740DD0"/>
    <w:rsid w:val="0074178E"/>
    <w:rsid w:val="0074575C"/>
    <w:rsid w:val="00747B09"/>
    <w:rsid w:val="00766CBC"/>
    <w:rsid w:val="00767D7A"/>
    <w:rsid w:val="00770BAE"/>
    <w:rsid w:val="00770C90"/>
    <w:rsid w:val="007925CD"/>
    <w:rsid w:val="00793F7D"/>
    <w:rsid w:val="00794DD9"/>
    <w:rsid w:val="007A1B57"/>
    <w:rsid w:val="007B2C58"/>
    <w:rsid w:val="007E6B5F"/>
    <w:rsid w:val="007F1D4B"/>
    <w:rsid w:val="00800450"/>
    <w:rsid w:val="00810E9F"/>
    <w:rsid w:val="0081134D"/>
    <w:rsid w:val="00821EEE"/>
    <w:rsid w:val="00833AEB"/>
    <w:rsid w:val="008451B9"/>
    <w:rsid w:val="00853419"/>
    <w:rsid w:val="0085460C"/>
    <w:rsid w:val="00883237"/>
    <w:rsid w:val="008A63A9"/>
    <w:rsid w:val="008A73DC"/>
    <w:rsid w:val="008B482C"/>
    <w:rsid w:val="008B4EEE"/>
    <w:rsid w:val="008C3A1E"/>
    <w:rsid w:val="008E3972"/>
    <w:rsid w:val="008F1CC1"/>
    <w:rsid w:val="008F404E"/>
    <w:rsid w:val="00900568"/>
    <w:rsid w:val="00900E8B"/>
    <w:rsid w:val="0090611F"/>
    <w:rsid w:val="00915686"/>
    <w:rsid w:val="009334FF"/>
    <w:rsid w:val="009345ED"/>
    <w:rsid w:val="00936537"/>
    <w:rsid w:val="009512A5"/>
    <w:rsid w:val="0097760E"/>
    <w:rsid w:val="009A5F96"/>
    <w:rsid w:val="009B3CF6"/>
    <w:rsid w:val="009B4DBF"/>
    <w:rsid w:val="009C41D4"/>
    <w:rsid w:val="009E56BD"/>
    <w:rsid w:val="009E7418"/>
    <w:rsid w:val="009F0557"/>
    <w:rsid w:val="009F530C"/>
    <w:rsid w:val="00A03622"/>
    <w:rsid w:val="00A149E0"/>
    <w:rsid w:val="00A14E75"/>
    <w:rsid w:val="00A21842"/>
    <w:rsid w:val="00A24A96"/>
    <w:rsid w:val="00A4615F"/>
    <w:rsid w:val="00A545E2"/>
    <w:rsid w:val="00A7048A"/>
    <w:rsid w:val="00A81699"/>
    <w:rsid w:val="00A91719"/>
    <w:rsid w:val="00A95C7F"/>
    <w:rsid w:val="00AA661D"/>
    <w:rsid w:val="00AB5AA4"/>
    <w:rsid w:val="00AC0F7D"/>
    <w:rsid w:val="00AC4FDE"/>
    <w:rsid w:val="00AC6503"/>
    <w:rsid w:val="00AC65EC"/>
    <w:rsid w:val="00AD37E0"/>
    <w:rsid w:val="00AD73B3"/>
    <w:rsid w:val="00AD7EA0"/>
    <w:rsid w:val="00AF525C"/>
    <w:rsid w:val="00B053A1"/>
    <w:rsid w:val="00B30B60"/>
    <w:rsid w:val="00B51A95"/>
    <w:rsid w:val="00B54C2A"/>
    <w:rsid w:val="00B86346"/>
    <w:rsid w:val="00B875F8"/>
    <w:rsid w:val="00B92D53"/>
    <w:rsid w:val="00B94ABA"/>
    <w:rsid w:val="00BA5C3C"/>
    <w:rsid w:val="00BC400A"/>
    <w:rsid w:val="00BD34DF"/>
    <w:rsid w:val="00BF3209"/>
    <w:rsid w:val="00BF4CA4"/>
    <w:rsid w:val="00C125E1"/>
    <w:rsid w:val="00C21646"/>
    <w:rsid w:val="00C31FB7"/>
    <w:rsid w:val="00C35314"/>
    <w:rsid w:val="00C52448"/>
    <w:rsid w:val="00C52936"/>
    <w:rsid w:val="00C559D5"/>
    <w:rsid w:val="00C62263"/>
    <w:rsid w:val="00C64DE1"/>
    <w:rsid w:val="00C67ACF"/>
    <w:rsid w:val="00C81A7C"/>
    <w:rsid w:val="00CA5357"/>
    <w:rsid w:val="00CC155C"/>
    <w:rsid w:val="00CC15F7"/>
    <w:rsid w:val="00CC5017"/>
    <w:rsid w:val="00CF316B"/>
    <w:rsid w:val="00CF6A0F"/>
    <w:rsid w:val="00D048A9"/>
    <w:rsid w:val="00D06CA2"/>
    <w:rsid w:val="00D24804"/>
    <w:rsid w:val="00D358BE"/>
    <w:rsid w:val="00D36064"/>
    <w:rsid w:val="00D36480"/>
    <w:rsid w:val="00D4468C"/>
    <w:rsid w:val="00D449E6"/>
    <w:rsid w:val="00D44B80"/>
    <w:rsid w:val="00D47F98"/>
    <w:rsid w:val="00D56DE9"/>
    <w:rsid w:val="00D66293"/>
    <w:rsid w:val="00D70373"/>
    <w:rsid w:val="00D70848"/>
    <w:rsid w:val="00D9322F"/>
    <w:rsid w:val="00DB36AB"/>
    <w:rsid w:val="00DB4F3C"/>
    <w:rsid w:val="00DB69EA"/>
    <w:rsid w:val="00DC1FF5"/>
    <w:rsid w:val="00DE333A"/>
    <w:rsid w:val="00DE600E"/>
    <w:rsid w:val="00E120C3"/>
    <w:rsid w:val="00E14BB7"/>
    <w:rsid w:val="00E22D38"/>
    <w:rsid w:val="00E25874"/>
    <w:rsid w:val="00E47C57"/>
    <w:rsid w:val="00E54BDB"/>
    <w:rsid w:val="00E7520B"/>
    <w:rsid w:val="00E83B2C"/>
    <w:rsid w:val="00E911A6"/>
    <w:rsid w:val="00E94797"/>
    <w:rsid w:val="00EB2881"/>
    <w:rsid w:val="00EB2A83"/>
    <w:rsid w:val="00EC7344"/>
    <w:rsid w:val="00EC735C"/>
    <w:rsid w:val="00ED0556"/>
    <w:rsid w:val="00EE199C"/>
    <w:rsid w:val="00EF2AEA"/>
    <w:rsid w:val="00EF7F15"/>
    <w:rsid w:val="00F0517D"/>
    <w:rsid w:val="00F12131"/>
    <w:rsid w:val="00F1379D"/>
    <w:rsid w:val="00F23691"/>
    <w:rsid w:val="00F260F7"/>
    <w:rsid w:val="00F36DE7"/>
    <w:rsid w:val="00F379E4"/>
    <w:rsid w:val="00F4458A"/>
    <w:rsid w:val="00F531BA"/>
    <w:rsid w:val="00F53DAA"/>
    <w:rsid w:val="00F57C3D"/>
    <w:rsid w:val="00F7397A"/>
    <w:rsid w:val="00F76804"/>
    <w:rsid w:val="00F768FB"/>
    <w:rsid w:val="00F91904"/>
    <w:rsid w:val="00F93AB2"/>
    <w:rsid w:val="00FA3530"/>
    <w:rsid w:val="00FC7226"/>
    <w:rsid w:val="00FD2580"/>
    <w:rsid w:val="00FD428B"/>
    <w:rsid w:val="00FD7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7AE9"/>
    <w:rPr>
      <w:b/>
      <w:bCs/>
    </w:rPr>
  </w:style>
  <w:style w:type="character" w:customStyle="1" w:styleId="apple-converted-space">
    <w:name w:val="apple-converted-space"/>
    <w:basedOn w:val="a0"/>
    <w:rsid w:val="00237AE9"/>
  </w:style>
  <w:style w:type="paragraph" w:styleId="a5">
    <w:name w:val="header"/>
    <w:basedOn w:val="a"/>
    <w:link w:val="a6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F7D"/>
  </w:style>
  <w:style w:type="paragraph" w:styleId="a7">
    <w:name w:val="footer"/>
    <w:basedOn w:val="a"/>
    <w:link w:val="a8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F7D"/>
  </w:style>
  <w:style w:type="character" w:styleId="a9">
    <w:name w:val="Hyperlink"/>
    <w:basedOn w:val="a0"/>
    <w:uiPriority w:val="99"/>
    <w:unhideWhenUsed/>
    <w:rsid w:val="00D358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73B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B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6A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0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CF3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4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41E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e">
    <w:name w:val="Table Grid"/>
    <w:basedOn w:val="a1"/>
    <w:uiPriority w:val="59"/>
    <w:rsid w:val="00C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3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37A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37AE9"/>
    <w:rPr>
      <w:b/>
      <w:bCs/>
    </w:rPr>
  </w:style>
  <w:style w:type="character" w:customStyle="1" w:styleId="apple-converted-space">
    <w:name w:val="apple-converted-space"/>
    <w:basedOn w:val="a0"/>
    <w:rsid w:val="00237AE9"/>
  </w:style>
  <w:style w:type="paragraph" w:styleId="a5">
    <w:name w:val="header"/>
    <w:basedOn w:val="a"/>
    <w:link w:val="a6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AC0F7D"/>
  </w:style>
  <w:style w:type="paragraph" w:styleId="a7">
    <w:name w:val="footer"/>
    <w:basedOn w:val="a"/>
    <w:link w:val="a8"/>
    <w:uiPriority w:val="99"/>
    <w:unhideWhenUsed/>
    <w:rsid w:val="00AC0F7D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C0F7D"/>
  </w:style>
  <w:style w:type="character" w:styleId="a9">
    <w:name w:val="Hyperlink"/>
    <w:basedOn w:val="a0"/>
    <w:uiPriority w:val="99"/>
    <w:unhideWhenUsed/>
    <w:rsid w:val="00D358BE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AD73B3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B3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B36AB"/>
    <w:rPr>
      <w:rFonts w:ascii="Tahoma" w:hAnsi="Tahoma" w:cs="Tahoma"/>
      <w:sz w:val="16"/>
      <w:szCs w:val="16"/>
    </w:rPr>
  </w:style>
  <w:style w:type="paragraph" w:customStyle="1" w:styleId="rvps7">
    <w:name w:val="rvps7"/>
    <w:basedOn w:val="a"/>
    <w:rsid w:val="000810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d">
    <w:name w:val="No Spacing"/>
    <w:uiPriority w:val="1"/>
    <w:qFormat/>
    <w:rsid w:val="00CF31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5D41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5D41E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e">
    <w:name w:val="Table Grid"/>
    <w:basedOn w:val="a1"/>
    <w:uiPriority w:val="59"/>
    <w:rsid w:val="00C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0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419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77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2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9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B9C37-5E0A-45D6-B17B-7218D50AE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3323</Words>
  <Characters>18942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Classic</Company>
  <LinksUpToDate>false</LinksUpToDate>
  <CharactersWithSpaces>22221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econ02</cp:lastModifiedBy>
  <cp:revision>7</cp:revision>
  <cp:lastPrinted>2019-11-08T13:04:00Z</cp:lastPrinted>
  <dcterms:created xsi:type="dcterms:W3CDTF">2019-10-21T06:46:00Z</dcterms:created>
  <dcterms:modified xsi:type="dcterms:W3CDTF">2019-11-08T13:11:00Z</dcterms:modified>
</cp:coreProperties>
</file>