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Додаток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2</w:t>
      </w:r>
      <w:r/>
    </w:p>
    <w:p>
      <w:pPr>
        <w:ind w:left="566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ішення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сесії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міської</w:t>
      </w:r>
      <w:r>
        <w:rPr>
          <w:sz w:val="24"/>
          <w:szCs w:val="24"/>
        </w:rPr>
        <w:t xml:space="preserve"> ради</w:t>
      </w:r>
      <w:r/>
    </w:p>
    <w:p>
      <w:pPr>
        <w:ind w:left="566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VIII скликання </w:t>
      </w:r>
      <w:r/>
    </w:p>
    <w:p>
      <w:pPr>
        <w:ind w:left="5669" w:right="0" w:firstLine="0"/>
        <w:jc w:val="left"/>
        <w:rPr>
          <w:rFonts w:asciiTheme="minorHAnsi" w:hAnsiTheme="minorHAnsi" w:cstheme="minorBidi"/>
          <w:lang w:val="uk-UA"/>
        </w:rPr>
      </w:pPr>
      <w:r>
        <w:rPr>
          <w:sz w:val="24"/>
          <w:szCs w:val="24"/>
          <w:lang w:val="uk-UA"/>
        </w:rPr>
        <w:t xml:space="preserve">від 31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05 2022р. № 6/21/VIII</w:t>
      </w:r>
      <w:r/>
    </w:p>
    <w:p>
      <w:pPr>
        <w:pStyle w:val="88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ДОГОВІР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оренди нерухомого майна, що належить до комунальної власності </w:t>
      </w:r>
      <w:r/>
    </w:p>
    <w:p>
      <w:pPr>
        <w:pStyle w:val="883"/>
        <w:spacing w:after="0" w:before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Змінювані умови договору (далі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Умови)</w:t>
      </w:r>
      <w:r/>
    </w:p>
    <w:tbl>
      <w:tblPr>
        <w:tblW w:w="10605" w:type="dxa"/>
        <w:tblInd w:w="-601" w:type="dxa"/>
        <w:tblLook w:val="04A0" w:firstRow="1" w:lastRow="0" w:firstColumn="1" w:lastColumn="0" w:noHBand="0" w:noVBand="1"/>
      </w:tblPr>
      <w:tblGrid>
        <w:gridCol w:w="724"/>
        <w:gridCol w:w="14"/>
        <w:gridCol w:w="2029"/>
        <w:gridCol w:w="1135"/>
        <w:gridCol w:w="127"/>
        <w:gridCol w:w="1293"/>
        <w:gridCol w:w="1003"/>
        <w:gridCol w:w="466"/>
        <w:gridCol w:w="462"/>
        <w:gridCol w:w="11"/>
        <w:gridCol w:w="344"/>
        <w:gridCol w:w="264"/>
        <w:gridCol w:w="84"/>
        <w:gridCol w:w="685"/>
        <w:gridCol w:w="528"/>
        <w:gridCol w:w="1436"/>
      </w:tblGrid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  <w:r/>
          </w:p>
        </w:tc>
        <w:tc>
          <w:tcPr>
            <w:gridSpan w:val="1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м.Носівк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а, Чернігівської області</w:t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</w:t>
            </w:r>
            <w:r/>
          </w:p>
        </w:tc>
        <w:tc>
          <w:tcPr>
            <w:gridSpan w:val="1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3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___.________.202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р.</w:t>
            </w:r>
            <w:r/>
          </w:p>
        </w:tc>
      </w:tr>
      <w:tr>
        <w:trPr>
          <w:trHeight w:val="2860"/>
        </w:trPr>
        <w:tc>
          <w:tcPr>
            <w:gridSpan w:val="2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29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Сторони</w:t>
            </w:r>
            <w:r/>
          </w:p>
        </w:tc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 w:val="false"/>
          </w:tcPr>
          <w:p>
            <w:pPr>
              <w:pStyle w:val="874"/>
              <w:ind w:left="-43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3" w:type="dxa"/>
            <w:vAlign w:val="center"/>
            <w:textDirection w:val="lrTb"/>
            <w:noWrap w:val="false"/>
          </w:tcPr>
          <w:p>
            <w:pPr>
              <w:pStyle w:val="874"/>
              <w:ind w:left="-52" w:right="-82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-підприємців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  <w:r/>
          </w:p>
        </w:tc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місцезнахо-дження</w:t>
            </w:r>
            <w:r/>
          </w:p>
        </w:tc>
        <w:tc>
          <w:tcPr>
            <w:gridSpan w:val="5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5" w:type="dxa"/>
            <w:vAlign w:val="center"/>
            <w:textDirection w:val="lrTb"/>
            <w:noWrap w:val="false"/>
          </w:tcPr>
          <w:p>
            <w:pPr>
              <w:pStyle w:val="874"/>
              <w:ind w:left="-4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ім’я, по батькові (за наявності) особи, що підписала договір</w:t>
            </w:r>
            <w:r/>
          </w:p>
        </w:tc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13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Посада особи, що підписала договір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повноважен-ня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3.1.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Носівська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міська рада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pStyle w:val="874"/>
              <w:ind w:hanging="284"/>
              <w:jc w:val="center"/>
              <w:keepLines/>
              <w:spacing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874"/>
              <w:ind w:hanging="284"/>
              <w:jc w:val="center"/>
              <w:keepLines/>
              <w:spacing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04061984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874"/>
              <w:ind w:right="-145"/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Чернігівська обл.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м.Носівка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вул.Центральна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20</w:t>
            </w:r>
            <w:r/>
          </w:p>
        </w:tc>
        <w:tc>
          <w:tcPr>
            <w:gridSpan w:val="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Ігнатченко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В.М.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Носівський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міський голова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Рішення сесії міської ради від 26.11.20р.</w:t>
            </w:r>
            <w:r/>
          </w:p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№2/1/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VIII</w:t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3.1.1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4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Орендодавця, на яку надсилаються офіційні повідомленням за цим договором</w:t>
            </w:r>
            <w:r/>
          </w:p>
        </w:tc>
        <w:tc>
          <w:tcPr>
            <w:gridSpan w:val="1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/>
            <w:hyperlink r:id="rId12" w:tooltip="mailto:nosmrada_post@cg.gov.ua" w:history="1"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  <w:lang w:val="en-US"/>
                </w:rPr>
                <w:t xml:space="preserve">nosmrada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</w:rPr>
                <w:t xml:space="preserve">_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  <w:lang w:val="en-US"/>
                </w:rPr>
                <w:t xml:space="preserve">post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</w:rPr>
                <w:t xml:space="preserve">@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  <w:lang w:val="en-US"/>
                </w:rPr>
                <w:t xml:space="preserve">cg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</w:rPr>
                <w:t xml:space="preserve">.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  <w:lang w:val="en-US"/>
                </w:rPr>
                <w:t xml:space="preserve">gov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</w:rPr>
                <w:t xml:space="preserve">.</w:t>
              </w:r>
              <w:r>
                <w:rPr>
                  <w:rStyle w:val="856"/>
                  <w:rFonts w:ascii="Times New Roman" w:hAnsi="Times New Roman"/>
                  <w:bCs/>
                  <w:i/>
                  <w:sz w:val="28"/>
                  <w:szCs w:val="28"/>
                  <w:lang w:val="en-US"/>
                </w:rPr>
                <w:t xml:space="preserve">ua</w:t>
              </w:r>
            </w:hyperlink>
            <w:r/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pStyle w:val="874"/>
              <w:ind w:hanging="284"/>
              <w:jc w:val="center"/>
              <w:keepLines/>
              <w:spacing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3.2.1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4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</w:t>
            </w:r>
            <w:r/>
          </w:p>
        </w:tc>
        <w:tc>
          <w:tcPr>
            <w:gridSpan w:val="1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3.2.2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4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1</w:t>
            </w:r>
            <w:r/>
          </w:p>
        </w:tc>
        <w:tc>
          <w:tcPr>
            <w:gridSpan w:val="1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3.3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Балансоутримувач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pStyle w:val="874"/>
              <w:ind w:left="-87" w:right="-4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3.3.1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4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Балансоутримувача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на яку надсилаються офіційні повідомленням за цим договором</w:t>
            </w:r>
            <w:r/>
          </w:p>
        </w:tc>
        <w:tc>
          <w:tcPr>
            <w:gridSpan w:val="10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Майно)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4.1</w:t>
            </w:r>
            <w:r/>
          </w:p>
        </w:tc>
        <w:tc>
          <w:tcPr>
            <w:gridSpan w:val="3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87"/>
              <w:ind w:left="0"/>
              <w:jc w:val="both"/>
              <w:keepLines/>
              <w:tabs>
                <w:tab w:val="left" w:pos="567" w:leader="none"/>
                <w:tab w:val="left" w:pos="709" w:leader="none"/>
              </w:tabs>
              <w:rPr>
                <w:color w:val="000000"/>
                <w:lang w:val="uk-UA"/>
              </w:rPr>
            </w:pPr>
            <w:r>
              <w:t xml:space="preserve">Нежитлов</w:t>
            </w:r>
            <w:r>
              <w:rPr>
                <w:lang w:val="uk-UA"/>
              </w:rPr>
              <w:t xml:space="preserve">е</w:t>
            </w:r>
            <w:r>
              <w:t xml:space="preserve"> </w:t>
            </w:r>
            <w:r>
              <w:t xml:space="preserve">приміщен</w:t>
            </w:r>
            <w:r>
              <w:rPr>
                <w:lang w:val="uk-UA"/>
              </w:rPr>
              <w:t xml:space="preserve">ня</w:t>
            </w:r>
            <w:r>
              <w:t xml:space="preserve">  </w:t>
            </w:r>
            <w:r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 xml:space="preserve">8,57</w:t>
            </w:r>
            <w:r>
              <w:t xml:space="preserve"> м</w:t>
            </w:r>
            <w:r>
              <w:rPr>
                <w:vertAlign w:val="superscript"/>
              </w:rPr>
              <w:t xml:space="preserve">2</w:t>
            </w:r>
            <w:r>
              <w:rPr>
                <w:lang w:val="uk-UA"/>
              </w:rPr>
              <w:t xml:space="preserve">,</w:t>
            </w:r>
            <w:r>
              <w:t xml:space="preserve">корисною</w:t>
            </w:r>
            <w:r>
              <w:t xml:space="preserve"> </w:t>
            </w:r>
            <w:r>
              <w:t xml:space="preserve">площею</w:t>
            </w:r>
            <w:r>
              <w:t xml:space="preserve"> </w:t>
            </w:r>
            <w:r>
              <w:rPr>
                <w:lang w:val="uk-UA"/>
              </w:rPr>
              <w:t xml:space="preserve">7,8</w:t>
            </w:r>
            <w:r>
              <w:t xml:space="preserve">м</w:t>
            </w:r>
            <w:r>
              <w:rPr>
                <w:vertAlign w:val="superscript"/>
              </w:rPr>
              <w:t xml:space="preserve">2</w:t>
            </w:r>
            <w:r>
              <w:t xml:space="preserve">, </w:t>
            </w:r>
            <w:r>
              <w:t xml:space="preserve">що</w:t>
            </w:r>
            <w:r>
              <w:t xml:space="preserve"> </w:t>
            </w:r>
            <w:r>
              <w:t xml:space="preserve">розташовані</w:t>
            </w:r>
            <w:r>
              <w:t xml:space="preserve"> на </w:t>
            </w:r>
            <w:r>
              <w:rPr>
                <w:lang w:val="uk-UA"/>
              </w:rPr>
              <w:t xml:space="preserve">першому</w:t>
            </w:r>
            <w:r>
              <w:t xml:space="preserve"> </w:t>
            </w:r>
            <w:r>
              <w:t xml:space="preserve">поверсі</w:t>
            </w:r>
            <w:r>
              <w:t xml:space="preserve"> </w:t>
            </w:r>
            <w:r>
              <w:t xml:space="preserve">адм</w:t>
            </w:r>
            <w:r>
              <w:t xml:space="preserve">інбудівлі</w:t>
            </w:r>
            <w:r>
              <w:t xml:space="preserve"> за </w:t>
            </w:r>
            <w:r>
              <w:t xml:space="preserve">адресою</w:t>
            </w:r>
            <w:r>
              <w:t xml:space="preserve">: </w:t>
            </w:r>
            <w:r>
              <w:t xml:space="preserve">вул</w:t>
            </w:r>
            <w:r>
              <w:t xml:space="preserve">. Центральна, </w:t>
            </w:r>
            <w:r>
              <w:rPr>
                <w:lang w:val="uk-UA"/>
              </w:rPr>
              <w:t xml:space="preserve">20</w:t>
            </w:r>
            <w:r>
              <w:t xml:space="preserve">, </w:t>
            </w:r>
            <w:r>
              <w:t xml:space="preserve">місто</w:t>
            </w:r>
            <w:r>
              <w:t xml:space="preserve"> </w:t>
            </w:r>
            <w:r>
              <w:t xml:space="preserve">Носівка</w:t>
            </w:r>
            <w:r>
              <w:t xml:space="preserve">,</w:t>
            </w:r>
            <w:r>
              <w:rPr>
                <w:lang w:val="uk-UA"/>
              </w:rPr>
              <w:t xml:space="preserve"> Чернігівська область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4.2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-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_________________________________________________________________________________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Інформація про належність Майна до пам’яток культурної спадщини, щойно виявлених об’єктів культурної спадщини</w:t>
            </w:r>
            <w:r/>
          </w:p>
        </w:tc>
        <w:tc>
          <w:tcPr>
            <w:gridSpan w:val="1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належить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Процедура, в результаті якої Майно отримано в оренду</w:t>
            </w:r>
            <w:r/>
          </w:p>
        </w:tc>
      </w:tr>
      <w:tr>
        <w:trPr>
          <w:trHeight w:val="5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ind w:left="-101" w:right="-76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5.1.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(В) продовження -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ind w:left="-101" w:right="-76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Вартість Майна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(залишити одне з трьох формулювань пункту 6.1)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</w:t>
            </w:r>
            <w:r>
              <w:rPr>
                <w:color w:val="000000"/>
                <w:sz w:val="22"/>
                <w:szCs w:val="22"/>
              </w:rPr>
              <w:br/>
              <w:t xml:space="preserve">(2)</w:t>
            </w:r>
            <w:r/>
          </w:p>
          <w:p>
            <w:pPr>
              <w:jc w:val="center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Балансова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залишкова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вартість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визначена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п</w:t>
            </w:r>
            <w:r>
              <w:rPr>
                <w:color w:val="000000"/>
                <w:sz w:val="22"/>
                <w:szCs w:val="22"/>
              </w:rPr>
              <w:t xml:space="preserve">ідставі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фінансової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звітності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Балансоутримувача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частина</w:t>
            </w:r>
            <w:r>
              <w:rPr>
                <w:color w:val="000000"/>
                <w:sz w:val="22"/>
                <w:szCs w:val="22"/>
              </w:rPr>
              <w:t xml:space="preserve"> перша </w:t>
            </w:r>
            <w:r>
              <w:rPr>
                <w:color w:val="000000"/>
                <w:sz w:val="22"/>
                <w:szCs w:val="22"/>
              </w:rPr>
              <w:t xml:space="preserve">статті</w:t>
            </w:r>
            <w:r>
              <w:rPr>
                <w:color w:val="000000"/>
                <w:sz w:val="22"/>
                <w:szCs w:val="22"/>
              </w:rPr>
              <w:t xml:space="preserve"> 8 Закону)</w:t>
            </w:r>
            <w:r/>
          </w:p>
        </w:tc>
        <w:tc>
          <w:tcPr>
            <w:gridSpan w:val="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1" w:type="dxa"/>
            <w:textDirection w:val="lrTb"/>
            <w:noWrap w:val="false"/>
          </w:tcPr>
          <w:p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сума (</w:t>
            </w:r>
            <w:r>
              <w:rPr>
                <w:color w:val="000000"/>
                <w:sz w:val="22"/>
                <w:szCs w:val="22"/>
              </w:rPr>
              <w:t xml:space="preserve">гривень</w:t>
            </w:r>
            <w:r>
              <w:rPr>
                <w:color w:val="000000"/>
                <w:sz w:val="22"/>
                <w:szCs w:val="22"/>
              </w:rPr>
              <w:t xml:space="preserve">), без </w:t>
            </w:r>
            <w:r>
              <w:rPr>
                <w:color w:val="000000"/>
                <w:sz w:val="22"/>
                <w:szCs w:val="22"/>
              </w:rPr>
              <w:t xml:space="preserve">податку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додану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вартість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________</w:t>
            </w:r>
            <w:r>
              <w:rPr>
                <w:color w:val="000000"/>
                <w:sz w:val="22"/>
                <w:szCs w:val="22"/>
              </w:rPr>
              <w:t xml:space="preserve">грн.</w:t>
            </w:r>
            <w:r/>
          </w:p>
        </w:tc>
        <w:tc>
          <w:tcPr>
            <w:gridSpan w:val="7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2" w:type="dxa"/>
            <w:textDirection w:val="lrTb"/>
            <w:noWrap w:val="false"/>
          </w:tcPr>
          <w:p>
            <w:pPr>
              <w:ind w:right="63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станом на </w:t>
            </w:r>
            <w:r>
              <w:rPr>
                <w:color w:val="000000"/>
                <w:sz w:val="22"/>
                <w:szCs w:val="22"/>
              </w:rPr>
              <w:t xml:space="preserve">останню</w:t>
            </w:r>
            <w:r>
              <w:rPr>
                <w:color w:val="000000"/>
                <w:sz w:val="22"/>
                <w:szCs w:val="22"/>
              </w:rPr>
              <w:t xml:space="preserve"> дату </w:t>
            </w:r>
            <w:r>
              <w:rPr>
                <w:color w:val="000000"/>
                <w:sz w:val="22"/>
                <w:szCs w:val="22"/>
              </w:rPr>
              <w:t xml:space="preserve">м</w:t>
            </w:r>
            <w:r>
              <w:rPr>
                <w:color w:val="000000"/>
                <w:sz w:val="22"/>
                <w:szCs w:val="22"/>
              </w:rPr>
              <w:t xml:space="preserve">ісяця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що</w:t>
            </w:r>
            <w:r>
              <w:rPr>
                <w:color w:val="000000"/>
                <w:sz w:val="22"/>
                <w:szCs w:val="22"/>
              </w:rPr>
              <w:t xml:space="preserve"> передувала </w:t>
            </w:r>
            <w:r>
              <w:rPr>
                <w:color w:val="000000"/>
                <w:sz w:val="22"/>
                <w:szCs w:val="22"/>
              </w:rPr>
              <w:t xml:space="preserve">даті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оприлюднення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оголошення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“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__</w:t>
            </w:r>
            <w:r>
              <w:rPr>
                <w:color w:val="000000"/>
                <w:sz w:val="22"/>
                <w:szCs w:val="22"/>
              </w:rPr>
              <w:t xml:space="preserve">”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_________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2</w:t>
            </w:r>
            <w:r>
              <w:rPr>
                <w:color w:val="000000"/>
                <w:sz w:val="22"/>
                <w:szCs w:val="22"/>
              </w:rPr>
              <w:t xml:space="preserve">р.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ind w:left="-73" w:right="-3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6.2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Страхова вартість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(залишити одне з двох формулювань пункту 6.2.1)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ind w:left="-73" w:right="-3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(1)</w:t>
            </w:r>
            <w:r/>
          </w:p>
          <w:p>
            <w:pPr>
              <w:pStyle w:val="874"/>
              <w:ind w:left="-73" w:right="-3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Сума, яка дорівнює визначеній у пункті 6.1 Умов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(гривень), без податку на додану вартість _______________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ind w:left="-73" w:right="-62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6.3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Балансоутримувача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пов’язані із проведенням оцінки Майна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 _______________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ind w:left="-73" w:right="-62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Цільове призначення Майна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(3)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розміщення відповідного закладу або для провадження діяльності із збереженням відповідного профілю діяльності* (зазначається тип закладу або профіль, за яким може бути використано Майно) _____________________________________________________________________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Графік використання (заповнюється, якщо майно передається в погодинну оренду)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Орендна плата та інші платежі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формулювань пункту 9.1)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(1)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Місячна орендна плата, визначена за результатами проведення аукціону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2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сума, гривень, без податку на додану вартість ___________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1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і реквізити протоколу електронного аукціону ________________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9.2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на утримання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орендованого Майна та надання комунальних послуг Орендарю</w:t>
            </w:r>
            <w:r/>
          </w:p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6.5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договору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Розмір авансового внеску орендної плати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(1)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сума, гривень, без податку на додану вартість _____________</w:t>
            </w:r>
            <w:r/>
          </w:p>
          <w:p>
            <w:pPr>
              <w:pStyle w:val="874"/>
              <w:ind w:left="248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забезпечувального депозиту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ind w:left="10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  <w:r/>
          </w:p>
          <w:p>
            <w:pPr>
              <w:pStyle w:val="874"/>
              <w:ind w:left="10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сума, гривень, без податку на додану вартість _____________ </w:t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ind w:left="248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Строк договору</w:t>
            </w:r>
            <w:r/>
          </w:p>
        </w:tc>
      </w:tr>
      <w:tr>
        <w:trPr>
          <w:trHeight w:val="8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(1)</w:t>
            </w:r>
            <w:r/>
          </w:p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1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pStyle w:val="874"/>
              <w:ind w:left="-35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_ років (місяців, днів) з дати набрання чинності цим договором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4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надав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згоду на передачу майна в </w:t>
            </w:r>
            <w:r/>
          </w:p>
          <w:p>
            <w:pPr>
              <w:pStyle w:val="87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суборенду згідно з оголошенням про передачу майна в оренду</w:t>
            </w:r>
            <w:r/>
          </w:p>
        </w:tc>
      </w:tr>
      <w:tr>
        <w:trPr>
          <w:cantSplit/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vMerge w:val="restart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Додаткові умови оренди</w:t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ind w:left="720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(вказати усі додаткові умови)</w:t>
            </w:r>
            <w:r/>
          </w:p>
        </w:tc>
      </w:tr>
      <w:tr>
        <w:trPr>
          <w:cantSplit/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1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встановлені рішенням уповноваженого органу відповідно до рішення такого органу</w:t>
            </w:r>
            <w:r/>
          </w:p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уповноважений орган</w:t>
            </w:r>
            <w:r/>
          </w:p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і номер рішення уповноваженого органу</w:t>
            </w:r>
            <w:r/>
          </w:p>
        </w:tc>
      </w:tr>
      <w:tr>
        <w:trPr>
          <w:cantSplit/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vMerge w:val="restart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Банківські реквізити для сплати орендної плати та інших платежів відповідно до цього договору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Балансоутримувача</w:t>
            </w:r>
            <w:r/>
          </w:p>
        </w:tc>
        <w:tc>
          <w:tcPr>
            <w:gridSpan w:val="7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6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Місцевий бюджет бюджету 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4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Орендодавця</w:t>
            </w:r>
            <w:r/>
          </w:p>
        </w:tc>
      </w:tr>
      <w:tr>
        <w:trPr>
          <w:cantSplit/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6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4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pStyle w:val="874"/>
              <w:jc w:val="center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</w:t>
            </w:r>
            <w:r/>
          </w:p>
        </w:tc>
        <w:tc>
          <w:tcPr>
            <w:gridSpan w:val="3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Співвідношення розподілу орендної плати станом на дату укладення договору</w:t>
            </w:r>
            <w:r/>
          </w:p>
        </w:tc>
        <w:tc>
          <w:tcPr>
            <w:gridSpan w:val="7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6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Балансоутримувачу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_100_ відсотків  суми орендної плати</w:t>
            </w:r>
            <w:r/>
          </w:p>
        </w:tc>
        <w:tc>
          <w:tcPr>
            <w:gridSpan w:val="5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місцевий бюджету ___ відсотків суми орендної плати</w:t>
            </w:r>
            <w:r/>
          </w:p>
          <w:p>
            <w:pPr>
              <w:pStyle w:val="87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87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II.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Незмінювані умови договору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договору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Орендодавець і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Майно передається в оренду для використання згідно з пунктом 7 Умов.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Умови передачі орендованого Майна Орендарю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Орендар вступає у строкове платне користування Майном у день підписання акта приймання-передачі Майна.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приймання-передачі підписується між Орендарем і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одночасно з підписанням цього договору. 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Передача Майна в оренду здійснюється за його страховою вартістю, визначеною у пункті 6.2 Умов.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Орендна плата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складу орендної плати не входять витрати на утримання орендованого майна (комунальних послуг, </w:t>
      </w:r>
      <w:r>
        <w:rPr>
          <w:rFonts w:ascii="Times New Roman" w:hAnsi="Times New Roman"/>
          <w:sz w:val="24"/>
          <w:szCs w:val="24"/>
        </w:rPr>
        <w:t xml:space="preserve">послуг</w:t>
      </w:r>
      <w:r>
        <w:rPr>
          <w:rFonts w:ascii="Times New Roman" w:hAnsi="Times New Roman"/>
          <w:sz w:val="24"/>
          <w:szCs w:val="24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r>
        <w:rPr>
          <w:rFonts w:ascii="Times New Roman" w:hAnsi="Times New Roman"/>
          <w:sz w:val="24"/>
          <w:szCs w:val="24"/>
        </w:rPr>
        <w:t xml:space="preserve">внутрішньобудинкових</w:t>
      </w:r>
      <w:r>
        <w:rPr>
          <w:rFonts w:ascii="Times New Roman" w:hAnsi="Times New Roman"/>
          <w:sz w:val="24"/>
          <w:szCs w:val="24"/>
        </w:rPr>
        <w:t xml:space="preserve"> мереж, ремонту будівлі, у тому числі: покрівлі, фасаду, вивіз сміття тощо), а також компенсація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за користування земельною ділянкою. Орендар несе ці витрати на основі окремих договорів, укладених із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та/або безпосередньо з постачальниками комунальних послуг в порядку, визначеному пунктом 6.5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(1) Якщо орендна плата ви</w:t>
      </w:r>
      <w:r>
        <w:rPr>
          <w:rFonts w:ascii="Times New Roman" w:hAnsi="Times New Roman"/>
          <w:sz w:val="24"/>
          <w:szCs w:val="24"/>
        </w:rPr>
        <w:t xml:space="preserve">значена за результатами аукціону, орендна плата за січень-грудень року оренди, що настає за роком, на який припадає перший місяць оренди, визначається шляхом коригування орендної плати за перший місяць оренди на річний індекс інфляції року, на який припада</w:t>
      </w:r>
      <w:r>
        <w:rPr>
          <w:rFonts w:ascii="Times New Roman" w:hAnsi="Times New Roman"/>
          <w:sz w:val="24"/>
          <w:szCs w:val="24"/>
        </w:rPr>
        <w:t xml:space="preserve">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Орендар сплачує орендну плату до </w:t>
      </w:r>
      <w:r>
        <w:rPr>
          <w:rFonts w:ascii="Times New Roman" w:hAnsi="Times New Roman"/>
          <w:sz w:val="24"/>
          <w:szCs w:val="24"/>
        </w:rPr>
        <w:t xml:space="preserve">місцевого</w:t>
      </w:r>
      <w:r>
        <w:rPr>
          <w:rFonts w:ascii="Times New Roman" w:hAnsi="Times New Roman"/>
          <w:sz w:val="24"/>
          <w:szCs w:val="24"/>
        </w:rPr>
        <w:t xml:space="preserve"> бюджету та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у співвідношенні, визначеному у пункті 16 Умов (або в іншому співвідношенні, визначеному законодавством), щомісяця: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15 числа поточного місяця оренди - для орендарів, які отримали майно в оренду за результатами аукціону (договори типу 5(А) і 5(В);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Орендар сплачує орендну плату на підставі рахунків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Якщо цей договір укладено за результатами проведення аукціону, то підставою для сплати авансового внеску з орендної плати є протокол про результати електронного аукціону.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Якщо цей договір укладено без проведення аукціону (договори типу 5.1(Б) та 5.1(Г) Умов), розмір орендної плати підлягає перегляду на вимогу однієї із сторін у разі зміни Методики.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календарних днів з моменту набрання чинності відповідними змінами.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</w:t>
      </w:r>
      <w:r>
        <w:rPr>
          <w:rFonts w:ascii="Times New Roman" w:hAnsi="Times New Roman"/>
          <w:sz w:val="24"/>
          <w:szCs w:val="24"/>
        </w:rPr>
        <w:t xml:space="preserve">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  <w:r/>
    </w:p>
    <w:p>
      <w:pPr>
        <w:pStyle w:val="875"/>
        <w:jc w:val="both"/>
        <w:spacing w:lineRule="auto" w:line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(в частині, належній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). Орендодавець і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можуть за домовленістю звернутися із позовом про стягнення орендно</w:t>
      </w:r>
      <w:r>
        <w:rPr>
          <w:rFonts w:ascii="Times New Roman" w:hAnsi="Times New Roman"/>
          <w:sz w:val="24"/>
          <w:szCs w:val="24"/>
        </w:rPr>
        <w:t xml:space="preserve">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  <w:r/>
    </w:p>
    <w:p>
      <w:pPr>
        <w:pStyle w:val="875"/>
        <w:jc w:val="both"/>
        <w:spacing w:lineRule="auto" w:line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  <w:r/>
    </w:p>
    <w:p>
      <w:pPr>
        <w:pStyle w:val="875"/>
        <w:jc w:val="both"/>
        <w:spacing w:lineRule="auto" w:line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Надміру сплачена сума орендної плати, що надійшла до бюджету або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</w:t>
      </w:r>
      <w:r>
        <w:rPr>
          <w:rFonts w:ascii="Times New Roman" w:hAnsi="Times New Roman"/>
          <w:sz w:val="24"/>
          <w:szCs w:val="24"/>
        </w:rPr>
        <w:t xml:space="preserve">припиненням орендних відносин -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  <w:r/>
    </w:p>
    <w:p>
      <w:pPr>
        <w:pStyle w:val="875"/>
        <w:jc w:val="both"/>
        <w:spacing w:lineRule="auto" w:line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  <w:r/>
    </w:p>
    <w:p>
      <w:pPr>
        <w:pStyle w:val="875"/>
        <w:jc w:val="both"/>
        <w:spacing w:lineRule="auto" w:line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Орендар зобов’язаний на вимогу Орендодавця проводити звіряння взаєморозрахунків за орендними платежами і оформляти акти звіряння.</w:t>
      </w:r>
      <w:r/>
    </w:p>
    <w:p>
      <w:pPr>
        <w:pStyle w:val="875"/>
        <w:ind w:firstLine="0"/>
        <w:jc w:val="center"/>
        <w:spacing w:lineRule="auto" w:line="2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Повернення Майна з оренди і забезпечувальний депозит</w:t>
      </w:r>
      <w:r/>
    </w:p>
    <w:p>
      <w:pPr>
        <w:pStyle w:val="875"/>
        <w:jc w:val="both"/>
        <w:spacing w:lineRule="auto" w:line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 разі припинення договору Орендар зобов’язаний: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звільнити протягом трьох робочих днів орендоване Майно від належних Орендарю речей і повернути його відпо</w:t>
      </w:r>
      <w:r>
        <w:rPr>
          <w:rFonts w:ascii="Times New Roman" w:hAnsi="Times New Roman"/>
          <w:sz w:val="24"/>
          <w:szCs w:val="24"/>
        </w:rPr>
        <w:t xml:space="preserve">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rFonts w:ascii="Times New Roman" w:hAnsi="Times New Roman"/>
          <w:sz w:val="24"/>
          <w:szCs w:val="24"/>
          <w:lang w:val="ru-RU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то разом із такими </w:t>
      </w:r>
      <w:r>
        <w:rPr>
          <w:rFonts w:ascii="Times New Roman" w:hAnsi="Times New Roman"/>
          <w:sz w:val="24"/>
          <w:szCs w:val="24"/>
        </w:rPr>
        <w:t xml:space="preserve">поліпшеннями</w:t>
      </w:r>
      <w:r>
        <w:rPr>
          <w:rFonts w:ascii="Times New Roman" w:hAnsi="Times New Roman"/>
          <w:sz w:val="24"/>
          <w:szCs w:val="24"/>
        </w:rPr>
        <w:t xml:space="preserve">/капітальним ремонтом;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платежі за договором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відшкодувати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збитки в разі погіршення стану або втрати</w:t>
      </w:r>
      <w:r>
        <w:rPr>
          <w:rFonts w:ascii="Times New Roman" w:hAnsi="Times New Roman"/>
          <w:sz w:val="24"/>
          <w:szCs w:val="24"/>
        </w:rPr>
        <w:t xml:space="preserve">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r>
        <w:rPr>
          <w:rFonts w:ascii="Times New Roman" w:hAnsi="Times New Roman"/>
          <w:sz w:val="24"/>
          <w:szCs w:val="24"/>
        </w:rPr>
        <w:t xml:space="preserve">поліпшень</w:t>
      </w:r>
      <w:r>
        <w:rPr>
          <w:rFonts w:ascii="Times New Roman" w:hAnsi="Times New Roman"/>
          <w:sz w:val="24"/>
          <w:szCs w:val="24"/>
        </w:rPr>
        <w:t xml:space="preserve">/капітального ремонту.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Протягом трьох робочих днів з моменту припинення цього договору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складає акт повернення з оренди орендованого Майна у трьох оригінальних примірниках і надає підписані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примірники Орендарю.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зобов’язаний: 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і одночасно повернути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звільнити Майно одночасно із поверненням підписаних Орендарем актів.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пізніше ніж на четвертий робочий день після припинення договору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зобов’язаний надати Орендодавцю примірник підписаного акта повернення </w:t>
      </w:r>
      <w:r>
        <w:rPr>
          <w:rFonts w:ascii="Times New Roman" w:hAnsi="Times New Roman"/>
          <w:sz w:val="24"/>
          <w:szCs w:val="24"/>
        </w:rPr>
        <w:t xml:space="preserve">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Майно вважається повернутим з оренди з моменту підписання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та Орендарем акта повернення з оренди орендованого Майна.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Якщо Орендар не повертає Майно після отримання від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цей договір є догов</w:t>
      </w:r>
      <w:r>
        <w:rPr>
          <w:rFonts w:ascii="Times New Roman" w:hAnsi="Times New Roman"/>
          <w:sz w:val="24"/>
          <w:szCs w:val="24"/>
        </w:rPr>
        <w:t xml:space="preserve">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договір, що продовжується, не передбачав обов’язку Орендаря сплатити забезпечувальний депозит, або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примірника акта повернення з оренди орендованого Майна, підписаного без зауважень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, або здійснює вирахування сум, визначених у пункті 4.8 цього договору, у разі наявності зауважень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або Орендодавця.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Орендодавець перераховує забезпечувальний депозит у повному обсязі до державного бюджету, якщо: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або Орендодавця з метою складення такого акта;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Орендодавець не пізніше ніж протягом п’ятого робочого дня з моменту отримання від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примірника акта повернення</w:t>
      </w:r>
      <w:r>
        <w:rPr>
          <w:rFonts w:ascii="Times New Roman" w:hAnsi="Times New Roman"/>
          <w:sz w:val="24"/>
          <w:szCs w:val="24"/>
        </w:rPr>
        <w:t xml:space="preserve">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другу чергу погашаються зобов’язання Орендаря із сплати неустойки (пункт 4.4 цього договору);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п’яту чергу погашаються зобов’язання Орендаря із сплати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платежів за договором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шосту чергу погашаються зобов’язання Орендаря з компенсації суми збитків, завданих орендованому Майну;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Поліпшення і ремонт орендованого майна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Орендар має право: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згодою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здійснювати невід’ємні поліпшення Майна за наявності рішення Орендодавця про надання згоди, прийнятого відповідно до Закону та Порядку;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Порядок отримання Орендарем згоди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і Орендодавця на проведення відповідних видів робіт, передбачених пунктом </w:t>
      </w:r>
      <w:r>
        <w:rPr>
          <w:rFonts w:ascii="Times New Roman" w:hAnsi="Times New Roman"/>
          <w:sz w:val="24"/>
          <w:szCs w:val="24"/>
        </w:rPr>
        <w:t xml:space="preserve">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Орендар має право на компенсацію вартості здійснених ним невід’ємних </w:t>
      </w:r>
      <w:r>
        <w:rPr>
          <w:rFonts w:ascii="Times New Roman" w:hAnsi="Times New Roman"/>
          <w:sz w:val="24"/>
          <w:szCs w:val="24"/>
        </w:rPr>
        <w:t xml:space="preserve">поліпшень</w:t>
      </w:r>
      <w:r>
        <w:rPr>
          <w:rFonts w:ascii="Times New Roman" w:hAnsi="Times New Roman"/>
          <w:sz w:val="24"/>
          <w:szCs w:val="24"/>
        </w:rPr>
        <w:t xml:space="preserve"> Майна у порядку та на умовах, встановлених Порядком.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Орендар має право на компенсацію вартості здійснених ним невід’ємних </w:t>
      </w:r>
      <w:r>
        <w:rPr>
          <w:rFonts w:ascii="Times New Roman" w:hAnsi="Times New Roman"/>
          <w:sz w:val="24"/>
          <w:szCs w:val="24"/>
        </w:rPr>
        <w:t xml:space="preserve">поліпшень</w:t>
      </w:r>
      <w:r>
        <w:rPr>
          <w:rFonts w:ascii="Times New Roman" w:hAnsi="Times New Roman"/>
          <w:sz w:val="24"/>
          <w:szCs w:val="24"/>
        </w:rPr>
        <w:t xml:space="preserve"> Майна від переможця аукціону з приватизації Майна, а якщо таким переможцем стає Орендар, - то право на зарахування в рахунок купівельної ціни суми вартості здійснених ним невід’ємних </w:t>
      </w:r>
      <w:r>
        <w:rPr>
          <w:rFonts w:ascii="Times New Roman" w:hAnsi="Times New Roman"/>
          <w:sz w:val="24"/>
          <w:szCs w:val="24"/>
        </w:rPr>
        <w:t xml:space="preserve">поліпшень</w:t>
      </w:r>
      <w:r>
        <w:rPr>
          <w:rFonts w:ascii="Times New Roman" w:hAnsi="Times New Roman"/>
          <w:sz w:val="24"/>
          <w:szCs w:val="24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- Закон про приватизацію).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використання орендованого Майна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Орендар зобов’язаний використовувати орендоване Майно відповідно до призначення, визначеного у пункті 7 Умов.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Орендар зобов’язаний забезпечувати збереження орендованого Майна, запобігати його пошкодженню і псуванню, тримати Майно в п</w:t>
      </w:r>
      <w:r>
        <w:rPr>
          <w:rFonts w:ascii="Times New Roman" w:hAnsi="Times New Roman"/>
          <w:sz w:val="24"/>
          <w:szCs w:val="24"/>
        </w:rPr>
        <w:t xml:space="preserve">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Орендар зобов’язаний: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проводити внутрішні розслідування випадків пожеж та подавати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відповідні документи розслідування.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Орендар зобов’язаний забезпечити представникам Орендодавця та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>
        <w:rPr>
          <w:rFonts w:ascii="Times New Roman" w:hAnsi="Times New Roman"/>
          <w:sz w:val="24"/>
          <w:szCs w:val="24"/>
          <w:lang w:val="ru-RU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або Орендодавець повідомляє Орендареві </w:t>
      </w:r>
      <w:r>
        <w:rPr>
          <w:rFonts w:ascii="Times New Roman" w:hAnsi="Times New Roman"/>
          <w:sz w:val="24"/>
          <w:szCs w:val="24"/>
        </w:rPr>
        <w:t xml:space="preserve">електронною поштою принаймні за один робочий день, крім випадків, коли доступ до об’єкта оренди необхідно отримати з ме</w:t>
      </w:r>
      <w:r>
        <w:rPr>
          <w:rFonts w:ascii="Times New Roman" w:hAnsi="Times New Roman"/>
          <w:sz w:val="24"/>
          <w:szCs w:val="24"/>
        </w:rPr>
        <w:t xml:space="preserve">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</w:t>
      </w:r>
      <w:r>
        <w:rPr>
          <w:rFonts w:ascii="Times New Roman" w:hAnsi="Times New Roman"/>
          <w:sz w:val="24"/>
          <w:szCs w:val="24"/>
        </w:rPr>
        <w:t xml:space="preserve">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Протягом п’яти робочих днів з дати укладення цього договору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зобов’язаний надати Орендарю для підписання: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примірники договору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підписати і повернути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примірник договору; або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обґрунтовані зауваження до сум витрат, які підлягають відшкодуванню Орендарем за договором.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/>
      <w:bookmarkStart w:id="1" w:name="_heading=h.1fob9te"/>
      <w:r/>
      <w:bookmarkEnd w:id="1"/>
      <w:r>
        <w:rPr>
          <w:rFonts w:ascii="Times New Roman" w:hAnsi="Times New Roman"/>
          <w:sz w:val="24"/>
          <w:szCs w:val="24"/>
        </w:rPr>
        <w:t xml:space="preserve">Орендар зобов’язаний протягом десяти робочих днів з моменту отримання від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примірник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. Орендар зобов’язаний надати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копії договорів, укладених із постачальниками комунальних послуг.</w:t>
      </w:r>
      <w:r/>
    </w:p>
    <w:p>
      <w:pPr>
        <w:pStyle w:val="8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Страхування об’єкта оренди, відшкодування витрат на оцінку Майна та укладення охоронного договору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Орендар зобов’язаний: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>
        <w:rPr>
          <w:rFonts w:ascii="Times New Roman" w:hAnsi="Times New Roman"/>
          <w:sz w:val="24"/>
          <w:szCs w:val="24"/>
        </w:rPr>
        <w:br/>
        <w:t xml:space="preserve">пункті 6.2 Умов, на користь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</w:t>
      </w:r>
      <w:r>
        <w:rPr>
          <w:rFonts w:ascii="Times New Roman" w:hAnsi="Times New Roman"/>
          <w:sz w:val="24"/>
          <w:szCs w:val="24"/>
        </w:rPr>
        <w:t xml:space="preserve">ніж один рік, такий договір повинен бути поновлений після закінчення строку, на який він укладено.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строк дії договору оренди менший, ніж один рік, то договір страхування укладається на строк дії договору оренди.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послуг страховика здійснюється за рахунок Орендаря (страхувальника).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Протягом 10 робочих днів з дня укладення цього договору Орендар зобов’язаний компенсувати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таких витрат).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має право зарахувати частину орендної плати, що підлягає сплаті на користь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, в рахунок його витрат, пов’язаних із проведенням незалежної оцінки Майна.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Протягом 10 робочих днів з дня укладення цього договору Орендар зобов’язаний компенсувати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/колишн</w:t>
      </w:r>
      <w:r>
        <w:rPr>
          <w:rFonts w:ascii="Times New Roman" w:hAnsi="Times New Roman"/>
          <w:sz w:val="24"/>
          <w:szCs w:val="24"/>
        </w:rPr>
        <w:t xml:space="preserve">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таких витрат).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Суборенда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(2) Орендар не має права передавати Майно в суборенду.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Орендар може укладати договір суборенди лише з особами, які відповідають вимогам статті 4 Закону.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Запевнення сторін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і Орендодавець запевняють Орендаря, що: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крім випадків, коли про інше зазначене в акті приймання-передачі, об’єкт оренди є вільним від третіх осіб, </w:t>
      </w:r>
      <w:r>
        <w:rPr>
          <w:rFonts w:ascii="Times New Roman" w:hAnsi="Times New Roman"/>
          <w:sz w:val="24"/>
          <w:szCs w:val="24"/>
        </w:rPr>
        <w:t xml:space="preserve">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інформація про Майно, оприлюднена в оголошенні про передачу в оренду або інформаційному повідомленні/інформації </w:t>
      </w:r>
      <w:r>
        <w:rPr>
          <w:rFonts w:ascii="Times New Roman" w:hAnsi="Times New Roman"/>
          <w:sz w:val="24"/>
          <w:szCs w:val="24"/>
        </w:rPr>
        <w:t xml:space="preserve">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Одночасно або до укладення цього договору Орендар повністю сплатив забезпечувальний депозит в розмірі, визначеному у пункті 11 Умов.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Додаткові умови оренди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Орендар зобов’язаний виконувати обов’язки, покладені на нього рішенням упо</w:t>
      </w:r>
      <w:r>
        <w:rPr>
          <w:rFonts w:ascii="Times New Roman" w:hAnsi="Times New Roman"/>
          <w:sz w:val="24"/>
          <w:szCs w:val="24"/>
        </w:rPr>
        <w:t xml:space="preserve">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Відповідальність і вирішення спорів за договором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За невиконання або неналежне виконання зобов’язань за цим договором сторони несуть відповідальність згідно із законом та договором.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Орендодавець не відповідає за зобов’язаннями Орендаря. Орендар не відповідає за зобов’язаннями Орен</w:t>
      </w:r>
      <w:r>
        <w:rPr>
          <w:rFonts w:ascii="Times New Roman" w:hAnsi="Times New Roman"/>
          <w:sz w:val="24"/>
          <w:szCs w:val="24"/>
        </w:rPr>
        <w:t xml:space="preserve">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Спори, які виникають за цим договором або в зв’язку з ним, не вирішені шляхом переговорів, вирішуються в судовому порядку.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Стягнення заборгованості з орендної плати, пені та неустойки (за наявно</w:t>
      </w:r>
      <w:r>
        <w:rPr>
          <w:rFonts w:ascii="Times New Roman" w:hAnsi="Times New Roman"/>
          <w:sz w:val="24"/>
          <w:szCs w:val="24"/>
        </w:rPr>
        <w:t xml:space="preserve">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  <w:r/>
    </w:p>
    <w:p>
      <w:pPr>
        <w:pStyle w:val="8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Строк чинності, умови зміни та припинення договору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(1)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</w:t>
      </w:r>
      <w:r>
        <w:rPr>
          <w:rFonts w:ascii="Times New Roman" w:hAnsi="Times New Roman"/>
          <w:sz w:val="24"/>
          <w:szCs w:val="24"/>
        </w:rPr>
        <w:t xml:space="preserve">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Умови цього договору зберігають силу протягом всього строку дії цього договор</w:t>
      </w:r>
      <w:r>
        <w:rPr>
          <w:rFonts w:ascii="Times New Roman" w:hAnsi="Times New Roman"/>
          <w:sz w:val="24"/>
          <w:szCs w:val="24"/>
        </w:rPr>
        <w:t xml:space="preserve">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- до виконання зобов’язань.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Зміни і доповнення до договору вносяться до закінчення строку</w:t>
      </w:r>
      <w:r>
        <w:rPr>
          <w:rFonts w:ascii="Times New Roman" w:hAnsi="Times New Roman"/>
          <w:sz w:val="24"/>
          <w:szCs w:val="24"/>
        </w:rPr>
        <w:t xml:space="preserve">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 Продовження цього договору здійснюється з урахуванням вимог, встановлених статтею 18 Закону та Порядком.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заяви додається звіт про оцінку об’єкта оренди -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заяви додається звіт про оцінку об’єкта оренди та рецензія на нього, якщо договір оренди продовжується вперше за умови, якщо строк оренди з</w:t>
      </w:r>
      <w:r>
        <w:rPr>
          <w:rFonts w:ascii="Times New Roman" w:hAnsi="Times New Roman"/>
          <w:sz w:val="24"/>
          <w:szCs w:val="24"/>
        </w:rPr>
        <w:t xml:space="preserve">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Орендар має переважне право на продовження цього договору, яке може бути реалізовано ним у визначений в Порядку спосіб.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Оприлюднення на веб-сайті (сторінці чи профілі в соціальній мережі) орендаря, який отрима</w:t>
      </w:r>
      <w:r>
        <w:rPr>
          <w:rFonts w:ascii="Times New Roman" w:hAnsi="Times New Roman"/>
          <w:sz w:val="24"/>
          <w:szCs w:val="24"/>
        </w:rPr>
        <w:t xml:space="preserve">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Якщо інше не передбачено цим договором, перехід права власно</w:t>
      </w:r>
      <w:r>
        <w:rPr>
          <w:rFonts w:ascii="Times New Roman" w:hAnsi="Times New Roman"/>
          <w:sz w:val="24"/>
          <w:szCs w:val="24"/>
        </w:rPr>
        <w:t xml:space="preserve">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 Договір припиняється: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12.6.1 з підстав, передбачених частиною першою статті 24 Закону, і при цьому: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  <w:r/>
    </w:p>
    <w:p>
      <w:pPr>
        <w:pStyle w:val="87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дати закінчення строку, на який його було укладено, на підставі рішення Орендодавця (якщо цей договір використовується для передачі в оре</w:t>
      </w:r>
      <w:r>
        <w:rPr>
          <w:rFonts w:ascii="Times New Roman" w:hAnsi="Times New Roman"/>
          <w:sz w:val="24"/>
          <w:szCs w:val="24"/>
        </w:rPr>
        <w:t xml:space="preserve">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</w:t>
      </w:r>
      <w:r>
        <w:rPr>
          <w:rFonts w:ascii="Times New Roman" w:hAnsi="Times New Roman"/>
          <w:sz w:val="24"/>
          <w:szCs w:val="24"/>
        </w:rPr>
        <w:t xml:space="preserve">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>
        <w:rPr>
          <w:rFonts w:ascii="Times New Roman" w:hAnsi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- на підставі протоколу аукціону (рішення Орендодавця не вимагається);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12.6.1.2. якщо підставою припинення договору є обставини, передбачені абзацами третім, четвертим, сьомим</w:t>
      </w:r>
      <w:r>
        <w:rPr>
          <w:rFonts w:ascii="Times New Roman" w:hAnsi="Times New Roman"/>
          <w:sz w:val="24"/>
          <w:szCs w:val="24"/>
        </w:rPr>
        <w:t xml:space="preserve">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12.6.2 якщо Орендар надав недостовірну інформацію про право бути орендарем відповідно до положен</w:t>
      </w:r>
      <w:r>
        <w:rPr>
          <w:rFonts w:ascii="Times New Roman" w:hAnsi="Times New Roman"/>
          <w:sz w:val="24"/>
          <w:szCs w:val="24"/>
        </w:rPr>
        <w:t xml:space="preserve">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 недостовірну інформацію про себе та/або свою діяльність.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Договір вважається припинени</w:t>
      </w:r>
      <w:r>
        <w:rPr>
          <w:rFonts w:ascii="Times New Roman" w:hAnsi="Times New Roman"/>
          <w:sz w:val="24"/>
          <w:szCs w:val="24"/>
        </w:rPr>
        <w:t xml:space="preserve">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такому разі договір вважається припиненим: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дати набрання законної сили рішенням суду про відмову у позові Орендаря; або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дати залишення судом позову без розгляду, припинення провадження у справі або з дати відкликання Орендарем позову.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12.6.3 (1) якщо цей договір підписа</w:t>
      </w:r>
      <w:r>
        <w:rPr>
          <w:rFonts w:ascii="Times New Roman" w:hAnsi="Times New Roman"/>
          <w:sz w:val="24"/>
          <w:szCs w:val="24"/>
        </w:rPr>
        <w:t xml:space="preserve">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повинен скласти акт та повідомити Орендодавцю. 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12.6.6. за згодою сторін на підставі договору про припинення з дати підписання акта повернення Майна з оренди;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12.6.7. на вимогу будь-якої із сторін цього договору за рішенням суду з підстав, передбачених законодавством.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 Договір може бути достроково припинений на вимогу Орендодавця, якщо Орендар: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12.7.3. без письмового дозволу Ор</w:t>
      </w:r>
      <w:r>
        <w:rPr>
          <w:rFonts w:ascii="Times New Roman" w:hAnsi="Times New Roman"/>
          <w:sz w:val="24"/>
          <w:szCs w:val="24"/>
        </w:rPr>
        <w:t xml:space="preserve">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12.7.4. уклав договір суборенди з особами, які не відповідають вимогам статті 4 Закону;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12.7.5. перешкоджає співробітникам Орендодавця та/або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здійснювати контроль за використанням Майна, виконанням умов цього договору;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12.7.6. порушує додаткові умови оренди, зазначені у пункті 14 Умов;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12.7.8. відмовився внести зміни до цього договору у разі виникнення підстав, передбачених пунктом 3.7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повідомляє Орендареві та іншій стороні договору листом. У листі повинен міститись о</w:t>
      </w:r>
      <w:r>
        <w:rPr>
          <w:rFonts w:ascii="Times New Roman" w:hAnsi="Times New Roman"/>
          <w:sz w:val="24"/>
          <w:szCs w:val="24"/>
        </w:rPr>
        <w:t xml:space="preserve">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  <w:r/>
    </w:p>
    <w:p>
      <w:pPr>
        <w:pStyle w:val="875"/>
        <w:jc w:val="both"/>
        <w:spacing w:lineRule="auto" w: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</w:t>
      </w:r>
      <w:r>
        <w:rPr>
          <w:rFonts w:ascii="Times New Roman" w:hAnsi="Times New Roman"/>
          <w:sz w:val="24"/>
          <w:szCs w:val="24"/>
        </w:rPr>
        <w:t xml:space="preserve">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  <w:r/>
    </w:p>
    <w:p>
      <w:pPr>
        <w:pStyle w:val="875"/>
        <w:jc w:val="both"/>
        <w:spacing w:lineRule="auto" w: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Договір вважається припиненим на п’ятий робочий день після надіслання Орендодавцем або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</w:t>
      </w:r>
      <w:r>
        <w:rPr>
          <w:rFonts w:ascii="Times New Roman" w:hAnsi="Times New Roman"/>
          <w:sz w:val="24"/>
          <w:szCs w:val="24"/>
        </w:rPr>
        <w:t xml:space="preserve">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  <w:r/>
    </w:p>
    <w:p>
      <w:pPr>
        <w:pStyle w:val="875"/>
        <w:jc w:val="both"/>
        <w:spacing w:lineRule="auto" w: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12.9. Цей договір може бути достроково припинений на вимогу Орендаря, якщо:</w:t>
      </w:r>
      <w:r/>
    </w:p>
    <w:p>
      <w:pPr>
        <w:pStyle w:val="875"/>
        <w:jc w:val="both"/>
        <w:spacing w:lineRule="auto" w: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12.9.1. протягом одного місяця після підписання акта приймання-перед</w:t>
      </w:r>
      <w:r>
        <w:rPr>
          <w:rFonts w:ascii="Times New Roman" w:hAnsi="Times New Roman"/>
          <w:sz w:val="24"/>
          <w:szCs w:val="24"/>
        </w:rPr>
        <w:t xml:space="preserve">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  <w:r/>
    </w:p>
    <w:p>
      <w:pPr>
        <w:pStyle w:val="875"/>
        <w:jc w:val="both"/>
        <w:spacing w:lineRule="auto" w: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</w:t>
      </w:r>
      <w:r>
        <w:rPr>
          <w:rFonts w:ascii="Times New Roman" w:hAnsi="Times New Roman"/>
          <w:sz w:val="24"/>
          <w:szCs w:val="24"/>
        </w:rPr>
        <w:t xml:space="preserve">ремонтних робіт на об’єкті через відсутність на об’єкті можливості підключення до комунальних послуг, або відмови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укласти із Орендарем договір про відшкодування витрат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</w:t>
      </w:r>
      <w:r>
        <w:rPr>
          <w:rFonts w:ascii="Times New Roman" w:hAnsi="Times New Roman"/>
          <w:sz w:val="24"/>
          <w:szCs w:val="24"/>
        </w:rPr>
        <w:t xml:space="preserve">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  <w:r/>
    </w:p>
    <w:p>
      <w:pPr>
        <w:pStyle w:val="875"/>
        <w:jc w:val="both"/>
        <w:spacing w:lineRule="auto" w: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Договір вважається припиненим на десятий робочий день після надіслання Орендарем Орендодавцю і </w:t>
      </w:r>
      <w:r>
        <w:rPr>
          <w:rFonts w:ascii="Times New Roman" w:hAnsi="Times New Roman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z w:val="24"/>
          <w:szCs w:val="24"/>
        </w:rPr>
        <w:t xml:space="preserve"> вимоги про дострокове припинення цього договору, крім випадків, коли Орендодавець або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відсутності зауважень Орендодавця та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, передбачених абзацом другим цього пункту: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Орендодавець повертає сплачений Орендарем забезпечувальний д</w:t>
      </w:r>
      <w:r>
        <w:rPr>
          <w:rFonts w:ascii="Times New Roman" w:hAnsi="Times New Roman"/>
          <w:sz w:val="24"/>
          <w:szCs w:val="24"/>
        </w:rPr>
        <w:t xml:space="preserve">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12.11. У разі припинення договору: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поліпшення орендованого Майна</w:t>
      </w:r>
      <w:r>
        <w:rPr>
          <w:rFonts w:ascii="Times New Roman" w:hAnsi="Times New Roman"/>
          <w:sz w:val="24"/>
          <w:szCs w:val="24"/>
        </w:rPr>
        <w:t xml:space="preserve">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>
        <w:rPr>
          <w:rFonts w:ascii="Times New Roman" w:hAnsi="Times New Roman"/>
          <w:sz w:val="24"/>
          <w:szCs w:val="24"/>
          <w:lang w:val="ru-RU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власністю держави;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12.12. Майно вважається поверненим Орендодавцю/ </w:t>
      </w:r>
      <w:r>
        <w:rPr>
          <w:rFonts w:ascii="Times New Roman" w:hAnsi="Times New Roman"/>
          <w:spacing w:val="-4"/>
          <w:sz w:val="24"/>
          <w:szCs w:val="24"/>
        </w:rPr>
        <w:t xml:space="preserve">Балансоутримувачу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моменту підписання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та Орендарем акта повернення з оренди орендованого Майна.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Інше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</w:t>
      </w:r>
      <w:r>
        <w:rPr>
          <w:rFonts w:ascii="Times New Roman" w:hAnsi="Times New Roman"/>
          <w:sz w:val="24"/>
          <w:szCs w:val="24"/>
        </w:rPr>
        <w:t xml:space="preserve">реквізитах і контактних даних. Орендодавець або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повідомляє Орендареві про відповідні зміни письмово або на адресу електронної пошти.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Якщо цей договір підлягає нотаріальному посвідченню, витрати на таке посвідчення несе Орендар.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Якщо протягом строку дії договору відбувається зміна Орендодавця або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sz w:val="24"/>
          <w:szCs w:val="24"/>
        </w:rPr>
        <w:t xml:space="preserve"> Майна, новий Орендодавець або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стає стороною такого договору шляхом складення акта п</w:t>
      </w:r>
      <w:r>
        <w:rPr>
          <w:rFonts w:ascii="Times New Roman" w:hAnsi="Times New Roman"/>
          <w:sz w:val="24"/>
          <w:szCs w:val="24"/>
        </w:rPr>
        <w:t xml:space="preserve">ро заміну сторони у договорі оренди державного майна (далі - акт про заміну сторони) за формою, що розробляється Фондом державного майна і оприлюднюється на його офіційному веб-сайті. Акт про заміну сторони підписується попереднім і новим Орендодавцем або </w:t>
      </w:r>
      <w:r>
        <w:rPr>
          <w:rFonts w:ascii="Times New Roman" w:hAnsi="Times New Roman"/>
          <w:sz w:val="24"/>
          <w:szCs w:val="24"/>
        </w:rPr>
        <w:t xml:space="preserve">Балансоутримувачем</w:t>
      </w:r>
      <w:r>
        <w:rPr>
          <w:rFonts w:ascii="Times New Roman" w:hAnsi="Times New Roman"/>
          <w:sz w:val="24"/>
          <w:szCs w:val="24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r>
        <w:rPr>
          <w:rFonts w:ascii="Times New Roman" w:hAnsi="Times New Roman"/>
          <w:sz w:val="24"/>
          <w:szCs w:val="24"/>
        </w:rPr>
        <w:t xml:space="preserve">Балансоутримувач</w:t>
      </w:r>
      <w:r>
        <w:rPr>
          <w:rFonts w:ascii="Times New Roman" w:hAnsi="Times New Roman"/>
          <w:sz w:val="24"/>
          <w:szCs w:val="24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У разі реорганізації Орендаря договір оренди зберігає чинність для відповідного правонаступника юридичної особи - Орендаря.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виділу з юридичної особи -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Заміна сторони Орендаря набуває чинності з дня внесення змін до цього договору.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Заміна Орендаря інша, ніж передбачена цим пунктом, не допускається.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Цей Договір укладено у двох примірниках, кожен з яких має однакову юридичну силу, по одному для Орендаря, Орендодавця.</w:t>
      </w:r>
      <w:r/>
    </w:p>
    <w:p>
      <w:pPr>
        <w:pStyle w:val="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Підписи сторін</w:t>
      </w:r>
      <w:r/>
    </w:p>
    <w:p>
      <w:pPr>
        <w:pStyle w:val="87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435" w:type="dxa"/>
        <w:jc w:val="center"/>
        <w:tblLook w:val="04A0" w:firstRow="1" w:lastRow="0" w:firstColumn="1" w:lastColumn="0" w:noHBand="0" w:noVBand="1"/>
      </w:tblPr>
      <w:tblGrid>
        <w:gridCol w:w="4152"/>
        <w:gridCol w:w="5283"/>
      </w:tblGrid>
      <w:tr>
        <w:trPr>
          <w:jc w:val="center"/>
          <w:trHeight w:val="33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54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Орендаря: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86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54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Орендодавця: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86" w:type="dxa"/>
            <w:textDirection w:val="lrTb"/>
            <w:noWrap w:val="false"/>
          </w:tcPr>
          <w:p>
            <w:pPr>
              <w:pStyle w:val="8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</w:tc>
      </w:tr>
    </w:tbl>
    <w:p>
      <w:r/>
      <w:r/>
    </w:p>
    <w:p>
      <w:r/>
      <w:r/>
    </w:p>
    <w:p>
      <w:pPr>
        <w:rPr>
          <w:sz w:val="28"/>
        </w:rPr>
      </w:pPr>
      <w:r>
        <w:rPr>
          <w:sz w:val="28"/>
        </w:rPr>
        <w:t xml:space="preserve">Начальник відділу житлово-</w:t>
      </w:r>
      <w:r/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  <w:t xml:space="preserve">комунального </w:t>
      </w:r>
      <w:r/>
      <w:r>
        <w:rPr>
          <w:sz w:val="28"/>
        </w:rPr>
        <w:t xml:space="preserve">господарства</w:t>
      </w:r>
      <w:r/>
    </w:p>
    <w:p>
      <w:pPr>
        <w:rPr>
          <w:sz w:val="28"/>
        </w:rPr>
      </w:pPr>
      <w:r>
        <w:rPr>
          <w:sz w:val="28"/>
        </w:rPr>
        <w:t xml:space="preserve">та благоустрою</w:t>
        <w:tab/>
        <w:tab/>
        <w:t xml:space="preserve">                                                     Микола УСТИМЕНКО</w:t>
      </w:r>
      <w:r>
        <w:rPr>
          <w:sz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993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B06060202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 xml:space="preserve">2</w:t>
    </w:r>
    <w:r>
      <w:fldChar w:fldCharType="end"/>
    </w:r>
    <w:r/>
  </w:p>
  <w:p>
    <w:pPr>
      <w:pStyle w:val="8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677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78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79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80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1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2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84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85">
    <w:name w:val="Title Char"/>
    <w:basedOn w:val="702"/>
    <w:link w:val="716"/>
    <w:uiPriority w:val="10"/>
    <w:rPr>
      <w:sz w:val="48"/>
      <w:szCs w:val="48"/>
    </w:rPr>
  </w:style>
  <w:style w:type="character" w:styleId="686">
    <w:name w:val="Subtitle Char"/>
    <w:basedOn w:val="702"/>
    <w:link w:val="718"/>
    <w:uiPriority w:val="11"/>
    <w:rPr>
      <w:sz w:val="24"/>
      <w:szCs w:val="24"/>
    </w:rPr>
  </w:style>
  <w:style w:type="character" w:styleId="687">
    <w:name w:val="Quote Char"/>
    <w:link w:val="720"/>
    <w:uiPriority w:val="29"/>
    <w:rPr>
      <w:i/>
    </w:rPr>
  </w:style>
  <w:style w:type="character" w:styleId="688">
    <w:name w:val="Intense Quote Char"/>
    <w:link w:val="722"/>
    <w:uiPriority w:val="30"/>
    <w:rPr>
      <w:i/>
    </w:rPr>
  </w:style>
  <w:style w:type="character" w:styleId="689">
    <w:name w:val="Header Char"/>
    <w:basedOn w:val="702"/>
    <w:link w:val="724"/>
    <w:uiPriority w:val="99"/>
  </w:style>
  <w:style w:type="character" w:styleId="690">
    <w:name w:val="Caption Char"/>
    <w:basedOn w:val="728"/>
    <w:link w:val="726"/>
    <w:uiPriority w:val="99"/>
  </w:style>
  <w:style w:type="character" w:styleId="691">
    <w:name w:val="Endnote Text Char"/>
    <w:link w:val="860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874"/>
    <w:next w:val="874"/>
    <w:link w:val="705"/>
    <w:rPr>
      <w:b/>
      <w:smallCaps/>
      <w:sz w:val="28"/>
    </w:rPr>
    <w:pPr>
      <w:ind w:left="567"/>
      <w:keepNext/>
      <w:spacing w:before="240"/>
      <w:outlineLvl w:val="0"/>
    </w:pPr>
  </w:style>
  <w:style w:type="paragraph" w:styleId="694">
    <w:name w:val="Heading 2"/>
    <w:basedOn w:val="874"/>
    <w:next w:val="874"/>
    <w:link w:val="706"/>
    <w:rPr>
      <w:b/>
    </w:rPr>
    <w:pPr>
      <w:ind w:left="567"/>
      <w:keepNext/>
      <w:spacing w:before="120"/>
      <w:outlineLvl w:val="1"/>
    </w:pPr>
  </w:style>
  <w:style w:type="paragraph" w:styleId="695">
    <w:name w:val="Heading 3"/>
    <w:basedOn w:val="874"/>
    <w:next w:val="874"/>
    <w:link w:val="707"/>
    <w:rPr>
      <w:b/>
      <w:i/>
    </w:rPr>
    <w:pPr>
      <w:ind w:left="567"/>
      <w:keepNext/>
      <w:spacing w:before="120"/>
      <w:outlineLvl w:val="2"/>
    </w:pPr>
  </w:style>
  <w:style w:type="paragraph" w:styleId="696">
    <w:name w:val="Heading 4"/>
    <w:basedOn w:val="874"/>
    <w:next w:val="874"/>
    <w:link w:val="708"/>
    <w:pPr>
      <w:ind w:left="567"/>
      <w:keepNext/>
      <w:spacing w:before="120"/>
      <w:outlineLvl w:val="3"/>
    </w:pPr>
  </w:style>
  <w:style w:type="paragraph" w:styleId="697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9">
    <w:name w:val="Heading 7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0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1">
    <w:name w:val="Heading 9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Заголовок 1 Знак"/>
    <w:link w:val="693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</w:style>
  <w:style w:type="paragraph" w:styleId="716">
    <w:name w:val="Title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874"/>
    <w:link w:val="725"/>
    <w:pPr>
      <w:tabs>
        <w:tab w:val="center" w:pos="4153" w:leader="none"/>
        <w:tab w:val="right" w:pos="8306" w:leader="none"/>
      </w:tabs>
    </w:pPr>
  </w:style>
  <w:style w:type="character" w:styleId="725" w:customStyle="1">
    <w:name w:val="Верхний колонтитул Знак"/>
    <w:link w:val="724"/>
    <w:uiPriority w:val="99"/>
  </w:style>
  <w:style w:type="paragraph" w:styleId="726">
    <w:name w:val="Footer"/>
    <w:basedOn w:val="874"/>
    <w:link w:val="729"/>
    <w:pPr>
      <w:tabs>
        <w:tab w:val="center" w:pos="4153" w:leader="none"/>
        <w:tab w:val="right" w:pos="8306" w:leader="none"/>
      </w:tabs>
    </w:pPr>
  </w:style>
  <w:style w:type="character" w:styleId="727" w:customStyle="1">
    <w:name w:val="Footer Char"/>
    <w:uiPriority w:val="99"/>
  </w:style>
  <w:style w:type="paragraph" w:styleId="72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 w:customStyle="1">
    <w:name w:val="Нижний колонтитул Знак"/>
    <w:link w:val="726"/>
    <w:uiPriority w:val="99"/>
  </w:style>
  <w:style w:type="table" w:styleId="73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6">
    <w:name w:val="Hyperlink"/>
    <w:rPr>
      <w:color w:val="0000FF"/>
      <w:u w:val="single"/>
    </w:rPr>
  </w:style>
  <w:style w:type="paragraph" w:styleId="857">
    <w:name w:val="footnote text"/>
    <w:basedOn w:val="874"/>
    <w:link w:val="886"/>
    <w:rPr>
      <w:sz w:val="20"/>
      <w:lang w:val="en-US"/>
    </w:rPr>
  </w:style>
  <w:style w:type="character" w:styleId="858" w:customStyle="1">
    <w:name w:val="Footnote Text Char"/>
    <w:uiPriority w:val="99"/>
    <w:rPr>
      <w:sz w:val="18"/>
    </w:rPr>
  </w:style>
  <w:style w:type="character" w:styleId="859">
    <w:name w:val="footnote reference"/>
    <w:rPr>
      <w:vertAlign w:val="superscript"/>
    </w:rPr>
  </w:style>
  <w:style w:type="paragraph" w:styleId="860">
    <w:name w:val="endnote text"/>
    <w:link w:val="861"/>
    <w:uiPriority w:val="99"/>
    <w:semiHidden/>
    <w:unhideWhenUsed/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uiPriority w:val="39"/>
    <w:unhideWhenUsed/>
    <w:pPr>
      <w:spacing w:after="57"/>
    </w:pPr>
  </w:style>
  <w:style w:type="paragraph" w:styleId="864">
    <w:name w:val="toc 2"/>
    <w:uiPriority w:val="39"/>
    <w:unhideWhenUsed/>
    <w:pPr>
      <w:ind w:left="283"/>
      <w:spacing w:after="57"/>
    </w:pPr>
  </w:style>
  <w:style w:type="paragraph" w:styleId="865">
    <w:name w:val="toc 3"/>
    <w:uiPriority w:val="39"/>
    <w:unhideWhenUsed/>
    <w:pPr>
      <w:ind w:left="567"/>
      <w:spacing w:after="57"/>
    </w:pPr>
  </w:style>
  <w:style w:type="paragraph" w:styleId="866">
    <w:name w:val="toc 4"/>
    <w:uiPriority w:val="39"/>
    <w:unhideWhenUsed/>
    <w:pPr>
      <w:ind w:left="850"/>
      <w:spacing w:after="57"/>
    </w:pPr>
  </w:style>
  <w:style w:type="paragraph" w:styleId="867">
    <w:name w:val="toc 5"/>
    <w:uiPriority w:val="39"/>
    <w:unhideWhenUsed/>
    <w:pPr>
      <w:ind w:left="1134"/>
      <w:spacing w:after="57"/>
    </w:pPr>
  </w:style>
  <w:style w:type="paragraph" w:styleId="868">
    <w:name w:val="toc 6"/>
    <w:uiPriority w:val="39"/>
    <w:unhideWhenUsed/>
    <w:pPr>
      <w:ind w:left="1417"/>
      <w:spacing w:after="57"/>
    </w:pPr>
  </w:style>
  <w:style w:type="paragraph" w:styleId="869">
    <w:name w:val="toc 7"/>
    <w:uiPriority w:val="39"/>
    <w:unhideWhenUsed/>
    <w:pPr>
      <w:ind w:left="1701"/>
      <w:spacing w:after="57"/>
    </w:pPr>
  </w:style>
  <w:style w:type="paragraph" w:styleId="870">
    <w:name w:val="toc 8"/>
    <w:uiPriority w:val="39"/>
    <w:unhideWhenUsed/>
    <w:pPr>
      <w:ind w:left="1984"/>
      <w:spacing w:after="57"/>
    </w:pPr>
  </w:style>
  <w:style w:type="paragraph" w:styleId="871">
    <w:name w:val="toc 9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uiPriority w:val="99"/>
    <w:unhideWhenUsed/>
  </w:style>
  <w:style w:type="paragraph" w:styleId="874" w:customStyle="1">
    <w:name w:val="Обычный;Звичайний"/>
    <w:link w:val="874"/>
    <w:rPr>
      <w:rFonts w:ascii="antiqua" w:hAnsi="antiqua"/>
      <w:sz w:val="26"/>
      <w:lang w:val="uk-UA" w:eastAsia="ru-RU"/>
    </w:rPr>
  </w:style>
  <w:style w:type="paragraph" w:styleId="875" w:customStyle="1">
    <w:name w:val="Нормальний текст"/>
    <w:basedOn w:val="874"/>
    <w:pPr>
      <w:ind w:firstLine="567"/>
      <w:spacing w:before="120"/>
    </w:pPr>
  </w:style>
  <w:style w:type="paragraph" w:styleId="876" w:customStyle="1">
    <w:name w:val="Шапка документу"/>
    <w:basedOn w:val="874"/>
    <w:pPr>
      <w:ind w:left="4536"/>
      <w:jc w:val="center"/>
      <w:keepLines/>
      <w:keepNext/>
      <w:spacing w:after="240"/>
    </w:pPr>
  </w:style>
  <w:style w:type="paragraph" w:styleId="877" w:customStyle="1">
    <w:name w:val="Підпис"/>
    <w:basedOn w:val="874"/>
    <w:rPr>
      <w:b/>
      <w:position w:val="-48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paragraph" w:styleId="878" w:customStyle="1">
    <w:name w:val="Глава документу"/>
    <w:basedOn w:val="874"/>
    <w:next w:val="874"/>
    <w:pPr>
      <w:jc w:val="center"/>
      <w:keepLines/>
      <w:keepNext/>
      <w:spacing w:after="120" w:before="120"/>
    </w:pPr>
  </w:style>
  <w:style w:type="paragraph" w:styleId="879" w:customStyle="1">
    <w:name w:val="Герб"/>
    <w:basedOn w:val="874"/>
    <w:rPr>
      <w:sz w:val="144"/>
      <w:lang w:val="en-US"/>
    </w:rPr>
    <w:pPr>
      <w:jc w:val="center"/>
      <w:keepLines/>
      <w:keepNext/>
    </w:pPr>
  </w:style>
  <w:style w:type="paragraph" w:styleId="880" w:customStyle="1">
    <w:name w:val="Установа"/>
    <w:basedOn w:val="874"/>
    <w:rPr>
      <w:b/>
      <w:sz w:val="40"/>
    </w:rPr>
    <w:pPr>
      <w:jc w:val="center"/>
      <w:keepLines/>
      <w:keepNext/>
      <w:spacing w:before="120"/>
    </w:pPr>
  </w:style>
  <w:style w:type="paragraph" w:styleId="881" w:customStyle="1">
    <w:name w:val="Вид документа"/>
    <w:basedOn w:val="880"/>
    <w:next w:val="874"/>
    <w:rPr>
      <w:spacing w:val="20"/>
      <w:sz w:val="26"/>
    </w:rPr>
    <w:pPr>
      <w:spacing w:after="240" w:before="360"/>
    </w:pPr>
  </w:style>
  <w:style w:type="paragraph" w:styleId="882" w:customStyle="1">
    <w:name w:val="Час та місце"/>
    <w:basedOn w:val="874"/>
    <w:pPr>
      <w:jc w:val="center"/>
      <w:keepLines/>
      <w:keepNext/>
      <w:spacing w:after="240" w:before="120"/>
    </w:pPr>
  </w:style>
  <w:style w:type="paragraph" w:styleId="883" w:customStyle="1">
    <w:name w:val="Назва документа"/>
    <w:basedOn w:val="874"/>
    <w:next w:val="875"/>
    <w:rPr>
      <w:b/>
    </w:rPr>
    <w:pPr>
      <w:jc w:val="center"/>
      <w:keepLines/>
      <w:keepNext/>
      <w:spacing w:after="240" w:before="240"/>
    </w:pPr>
  </w:style>
  <w:style w:type="paragraph" w:styleId="884" w:customStyle="1">
    <w:name w:val="Normal Text"/>
    <w:basedOn w:val="874"/>
    <w:pPr>
      <w:ind w:firstLine="567"/>
      <w:jc w:val="both"/>
    </w:pPr>
  </w:style>
  <w:style w:type="paragraph" w:styleId="885" w:customStyle="1">
    <w:name w:val="Shapka Documentu"/>
    <w:basedOn w:val="884"/>
    <w:pPr>
      <w:ind w:left="3969" w:firstLine="0"/>
      <w:jc w:val="center"/>
      <w:keepLines/>
      <w:keepNext/>
      <w:spacing w:after="240"/>
    </w:pPr>
  </w:style>
  <w:style w:type="character" w:styleId="886" w:customStyle="1">
    <w:name w:val="Текст сноски Знак"/>
    <w:link w:val="857"/>
    <w:rPr>
      <w:rFonts w:ascii="antiqua" w:hAnsi="antiqua"/>
      <w:lang w:eastAsia="ru-RU"/>
    </w:rPr>
  </w:style>
  <w:style w:type="paragraph" w:styleId="887">
    <w:name w:val="Body Text Indent"/>
    <w:basedOn w:val="874"/>
    <w:link w:val="888"/>
    <w:rPr>
      <w:rFonts w:ascii="Times New Roman" w:hAnsi="Times New Roman"/>
      <w:sz w:val="24"/>
      <w:szCs w:val="24"/>
      <w:lang w:val="ru-RU"/>
    </w:rPr>
    <w:pPr>
      <w:ind w:left="283"/>
      <w:spacing w:after="120"/>
    </w:pPr>
  </w:style>
  <w:style w:type="character" w:styleId="888" w:customStyle="1">
    <w:name w:val="Основной текст с отступом Знак"/>
    <w:link w:val="887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nosmrada_post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gkhgspec1</dc:creator>
  <cp:lastModifiedBy>Нестеренко Ірина Сергіївна</cp:lastModifiedBy>
  <cp:revision>18</cp:revision>
  <dcterms:created xsi:type="dcterms:W3CDTF">2022-02-22T08:40:00Z</dcterms:created>
  <dcterms:modified xsi:type="dcterms:W3CDTF">2022-06-01T07:08:04Z</dcterms:modified>
</cp:coreProperties>
</file>