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3E" w:rsidRPr="00957B3E" w:rsidRDefault="00100855" w:rsidP="00957B3E">
      <w:pPr>
        <w:pBdr>
          <w:left w:val="single" w:sz="6" w:space="6" w:color="CCCCCC"/>
        </w:pBd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57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</w:t>
      </w:r>
      <w:r w:rsidR="00957B3E"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57B3E" w:rsidRDefault="00957B3E" w:rsidP="00957B3E">
      <w:pPr>
        <w:pBdr>
          <w:left w:val="single" w:sz="6" w:space="6" w:color="CCCCCC"/>
        </w:pBd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22 сесії міської ради </w:t>
      </w:r>
    </w:p>
    <w:p w:rsidR="00C074A1" w:rsidRPr="00957B3E" w:rsidRDefault="00957B3E" w:rsidP="00957B3E">
      <w:pPr>
        <w:pBdr>
          <w:left w:val="single" w:sz="6" w:space="6" w:color="CCCCCC"/>
        </w:pBd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скликання </w:t>
      </w:r>
    </w:p>
    <w:p w:rsidR="00733903" w:rsidRPr="00957B3E" w:rsidRDefault="00C074A1" w:rsidP="00957B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                                            </w:t>
      </w:r>
      <w:r w:rsid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 19.05.2017 </w:t>
      </w:r>
      <w:r w:rsidR="00733903"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r w:rsid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16/22/</w:t>
      </w:r>
      <w:r w:rsid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VII</w:t>
      </w:r>
      <w:r w:rsidR="00733903"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</w:t>
      </w:r>
    </w:p>
    <w:p w:rsidR="00733903" w:rsidRPr="00957B3E" w:rsidRDefault="00733903" w:rsidP="00957B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</w:t>
      </w:r>
    </w:p>
    <w:p w:rsidR="00C074A1" w:rsidRPr="00C074A1" w:rsidRDefault="00733903" w:rsidP="0073390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</w:t>
      </w:r>
    </w:p>
    <w:p w:rsidR="00C074A1" w:rsidRPr="00C074A1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ПРОГРАМА</w:t>
      </w:r>
    </w:p>
    <w:p w:rsidR="00C074A1" w:rsidRPr="00C074A1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</w:p>
    <w:p w:rsidR="00733903" w:rsidRDefault="00733903" w:rsidP="00C07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Носівсько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>ї об</w:t>
      </w:r>
      <w:r w:rsidRPr="00733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>єднаної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 xml:space="preserve"> територіальної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>громади</w:t>
      </w:r>
      <w:r w:rsidR="00C074A1"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на</w:t>
      </w:r>
      <w:proofErr w:type="gramEnd"/>
      <w:r w:rsidR="00C074A1"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C074A1" w:rsidRPr="00C074A1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201</w:t>
      </w:r>
      <w:r w:rsidR="00733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  <w:t>7</w:t>
      </w:r>
      <w:r w:rsidRPr="00C074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-2020 роки</w:t>
      </w:r>
    </w:p>
    <w:p w:rsidR="00C074A1" w:rsidRPr="00C074A1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м. Носівка</w:t>
      </w:r>
    </w:p>
    <w:p w:rsidR="00733903" w:rsidRDefault="00733903" w:rsidP="00C07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074A1" w:rsidRPr="00047F23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7F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І. ПАСПОРТ ПРОГРАМИ</w:t>
      </w:r>
    </w:p>
    <w:p w:rsidR="000B7696" w:rsidRDefault="00C074A1" w:rsidP="000B7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</w:t>
      </w:r>
      <w:proofErr w:type="spellEnd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дітей </w:t>
      </w:r>
      <w:r w:rsidRPr="00733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Носівсько</w:t>
      </w:r>
      <w:proofErr w:type="spellEnd"/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ї об</w:t>
      </w:r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єднаної</w:t>
      </w:r>
      <w:proofErr w:type="spellEnd"/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769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</w:p>
    <w:p w:rsidR="00733903" w:rsidRPr="00733903" w:rsidRDefault="000B7696" w:rsidP="000B76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201</w:t>
      </w:r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="00733903" w:rsidRPr="007339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-2020 роки</w:t>
      </w:r>
    </w:p>
    <w:p w:rsidR="00C074A1" w:rsidRPr="00C074A1" w:rsidRDefault="00C074A1" w:rsidP="00C074A1">
      <w:pPr>
        <w:spacing w:after="0" w:line="240" w:lineRule="auto"/>
        <w:ind w:right="-262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742D40" w:rsidRDefault="00C074A1" w:rsidP="00C07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proofErr w:type="gramStart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ідстава</w:t>
      </w:r>
      <w:proofErr w:type="spellEnd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розроблення</w:t>
      </w:r>
      <w:proofErr w:type="spellEnd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CD2AA3" w:rsidRPr="00742D40">
        <w:rPr>
          <w:sz w:val="28"/>
          <w:szCs w:val="28"/>
        </w:rPr>
        <w:fldChar w:fldCharType="begin"/>
      </w:r>
      <w:r w:rsidR="00CD2AA3" w:rsidRPr="00742D40">
        <w:rPr>
          <w:sz w:val="28"/>
          <w:szCs w:val="28"/>
        </w:rPr>
        <w:instrText xml:space="preserve"> HYPERLINK "http://search.ligazakon.ua/l_doc2.nsf/link1/ed_2008_09_04/T080375.html" \t "_top" </w:instrText>
      </w:r>
      <w:r w:rsidR="00CD2AA3" w:rsidRPr="00742D40">
        <w:rPr>
          <w:sz w:val="28"/>
          <w:szCs w:val="28"/>
        </w:rPr>
        <w:fldChar w:fldCharType="separate"/>
      </w:r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 </w:t>
      </w:r>
      <w:proofErr w:type="spellStart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"Про </w:t>
      </w:r>
      <w:proofErr w:type="spellStart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r w:rsid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</w:p>
    <w:p w:rsidR="00C074A1" w:rsidRDefault="00742D40" w:rsidP="00C074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</w:t>
      </w:r>
      <w:proofErr w:type="spellStart"/>
      <w:r w:rsidR="00C074A1"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відпочинок</w:t>
      </w:r>
      <w:proofErr w:type="spellEnd"/>
      <w:r w:rsidR="00C074A1"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4A1"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C074A1"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CD2AA3" w:rsidRPr="00742D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8E7F5D" w:rsidRPr="008E7F5D" w:rsidRDefault="008E7F5D" w:rsidP="00C074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tbl>
      <w:tblPr>
        <w:tblW w:w="8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4792"/>
      </w:tblGrid>
      <w:tr w:rsidR="008E7F5D" w:rsidRPr="00A257D1" w:rsidTr="008E7F5D">
        <w:trPr>
          <w:trHeight w:val="29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8E7F5D">
            <w:pPr>
              <w:pStyle w:val="a9"/>
              <w:numPr>
                <w:ilvl w:val="0"/>
                <w:numId w:val="6"/>
              </w:num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</w:t>
            </w:r>
          </w:p>
          <w:p w:rsidR="008E7F5D" w:rsidRPr="008E7F5D" w:rsidRDefault="008E7F5D" w:rsidP="00C074A1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</w:t>
            </w:r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C074A1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</w:t>
            </w:r>
            <w:r w:rsidRPr="00F1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8E7F5D" w:rsidRPr="008E7F5D" w:rsidRDefault="008E7F5D" w:rsidP="00C074A1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7F5D" w:rsidRPr="00C074A1" w:rsidTr="008E7F5D">
        <w:trPr>
          <w:trHeight w:val="176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8E7F5D">
            <w:pPr>
              <w:pStyle w:val="a9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Дата, номер і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E7F5D" w:rsidRPr="008E7F5D" w:rsidRDefault="008E7F5D" w:rsidP="008E7F5D">
            <w:pPr>
              <w:pStyle w:val="a9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органу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виконавчої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влади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A257D1" w:rsidP="00754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hyperlink r:id="rId7" w:tgtFrame="_top" w:history="1"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Закон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України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"Про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оздоровлення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та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відпочинок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дітей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="008E7F5D" w:rsidRPr="008E7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hyperlink r:id="rId8" w:tgtFrame="_top" w:history="1"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постанова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Кабінету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Міні</w:t>
              </w:r>
              <w:proofErr w:type="gram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стр</w:t>
              </w:r>
              <w:proofErr w:type="gram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ів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України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від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14.04.97 N 323 "Про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організаційне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і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фінансове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забезпечення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відпочинку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та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оздоровлення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дітей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в </w:t>
              </w:r>
              <w:proofErr w:type="spellStart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Україні</w:t>
              </w:r>
              <w:proofErr w:type="spellEnd"/>
              <w:r w:rsidR="008E7F5D" w:rsidRPr="008E7F5D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="008E7F5D" w:rsidRPr="008E7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8E7F5D" w:rsidRPr="008E7F5D" w:rsidRDefault="008E7F5D" w:rsidP="00754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7F5D" w:rsidRPr="00A257D1" w:rsidTr="008E7F5D">
        <w:trPr>
          <w:trHeight w:val="21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8E7F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  <w:p w:rsidR="008E7F5D" w:rsidRPr="008E7F5D" w:rsidRDefault="008E7F5D" w:rsidP="008E7F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EA1AD7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</w:t>
            </w:r>
            <w:r w:rsidRPr="00F134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8E7F5D" w:rsidRPr="008E7F5D" w:rsidRDefault="008E7F5D" w:rsidP="00EA1AD7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7F5D" w:rsidRPr="00C074A1" w:rsidTr="008E7F5D"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4.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виконавець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EA1AD7">
            <w:pPr>
              <w:spacing w:after="0" w:line="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сім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8E7F5D" w:rsidRPr="00C074A1" w:rsidTr="008E7F5D"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Фінансове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управління Носівської міської ради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;;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культури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і туризму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Носівської міської ради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служба у справах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proofErr w:type="gram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;</w:t>
            </w:r>
            <w:proofErr w:type="gram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комунальний лікувальний заклад ім. Приймака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комунальний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 «Носівський центр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первинної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медико-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санітарної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допомого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Носівської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районної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ради;</w:t>
            </w:r>
          </w:p>
          <w:p w:rsidR="008E7F5D" w:rsidRPr="008E7F5D" w:rsidRDefault="008E7F5D" w:rsidP="00C074A1">
            <w:pPr>
              <w:spacing w:after="0" w:line="24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центр </w:t>
            </w:r>
            <w:proofErr w:type="spellStart"/>
            <w:proofErr w:type="gram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іальних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служб для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сім’ї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молоді;профспілкові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громади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виконком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міської ради 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Носівський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районний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сектор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управління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ДСНС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Чернігівській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Носівське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відділення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Ніжинського</w:t>
            </w:r>
            <w:proofErr w:type="spellEnd"/>
          </w:p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відділу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ГУ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національної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поліції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Чернігівській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області</w:t>
            </w:r>
            <w:proofErr w:type="spellEnd"/>
          </w:p>
        </w:tc>
      </w:tr>
      <w:tr w:rsidR="008E7F5D" w:rsidRPr="00C074A1" w:rsidTr="008E7F5D">
        <w:trPr>
          <w:trHeight w:val="469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6.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</w:p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- 2020 роки </w:t>
            </w:r>
          </w:p>
        </w:tc>
      </w:tr>
      <w:tr w:rsidR="008E7F5D" w:rsidRPr="00C074A1" w:rsidTr="008E7F5D"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7.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бюджеті</w:t>
            </w:r>
            <w:proofErr w:type="gram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як</w:t>
            </w:r>
            <w:proofErr w:type="gram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7542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Міський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бюджет</w:t>
            </w:r>
          </w:p>
        </w:tc>
      </w:tr>
      <w:tr w:rsidR="008E7F5D" w:rsidRPr="00C074A1" w:rsidTr="008E7F5D"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обсяг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фінансових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ресурсів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необхідних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всього</w:t>
            </w:r>
            <w:proofErr w:type="spellEnd"/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 w:eastAsia="ru-RU"/>
              </w:rPr>
              <w:t>______________</w:t>
            </w:r>
          </w:p>
        </w:tc>
      </w:tr>
      <w:tr w:rsidR="008E7F5D" w:rsidRPr="00C074A1" w:rsidTr="008E7F5D"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8E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тому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числі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F5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E7F5D" w:rsidRPr="00C074A1" w:rsidTr="008E7F5D">
        <w:trPr>
          <w:trHeight w:val="26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коштів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місцевих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бюджеті</w:t>
            </w:r>
            <w:proofErr w:type="gram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bdr w:val="none" w:sz="0" w:space="0" w:color="auto" w:frame="1"/>
                <w:lang w:val="uk-UA" w:eastAsia="ru-RU"/>
              </w:rPr>
              <w:t>______________</w:t>
            </w:r>
          </w:p>
        </w:tc>
      </w:tr>
      <w:tr w:rsidR="008E7F5D" w:rsidRPr="00C074A1" w:rsidTr="008E7F5D">
        <w:trPr>
          <w:trHeight w:val="265"/>
        </w:trPr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залучені</w:t>
            </w:r>
            <w:proofErr w:type="spellEnd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E7F5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кошти</w:t>
            </w:r>
            <w:proofErr w:type="spellEnd"/>
          </w:p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E7F5D" w:rsidRPr="008E7F5D" w:rsidRDefault="008E7F5D" w:rsidP="00C074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</w:pPr>
          </w:p>
        </w:tc>
      </w:tr>
    </w:tbl>
    <w:p w:rsidR="00C074A1" w:rsidRDefault="00C074A1" w:rsidP="00C07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на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спрямована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</w:p>
    <w:p w:rsidR="008E7F5D" w:rsidRPr="008E7F5D" w:rsidRDefault="008E7F5D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C074A1" w:rsidRPr="008E7F5D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Одним із найважливіших завдань у сфері соціального захисту дітей є реалізація їх права на оздоровлення та відпочинок, охоплення організованими формами оздоровлення дітей, що потребують особливої соціальної уваги та підтримки.</w:t>
      </w:r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епоху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розвинутої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цивілізації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науково-технічного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прогресу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суспільство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стикається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проблемою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послаблених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адаптаційних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механізмів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`я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містах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інтенсивним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транспортним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насичена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навчальна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призводить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перенавантажень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психіки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об'єктивними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причинами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зниження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духовного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підростаючого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покоління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екологічні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ускладнені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наслідками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Чорнобильської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катастрофи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неповноцінне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слабка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матеріально-технічна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охорони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обмеження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доступу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позашкільної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комерціалізацію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унеможливлює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задоволення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спортивно-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потреб.</w:t>
      </w:r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Незважаючи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склалися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суспільстві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здорового способу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`я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підростаючого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покоління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залишається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одним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пріоритетних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політики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складної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небезпечної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склалася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сході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там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антитерористичної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прогнозованим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розширення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переліку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зростання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потреби у бюджетному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Ускладнює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факт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державного бюджету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відсутність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кампанії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Фонду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страхування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тимчасової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втрати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працездатності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Нагальною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проблема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</w:t>
      </w:r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сучасною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методикою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змістовного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вжити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культурно-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масової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фізкультурно-спортивної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літніх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канікул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таборів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загонів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туристичних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волонтерського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руху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Зважаючи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ряд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негативних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явищ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ідлітковому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молодіжному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середовищі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тютюнопаління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алкоголізм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наркоманія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особливістю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здорового способу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понять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Відпочинкова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Відпочинкові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заходи,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дотриманням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активного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пасивного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раціонального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умовами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Відпочинок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ієнічного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спортивного характеру,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забезпечують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дозвілля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психічних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сприяють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духовності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активності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відпочинкової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Державні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іальні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стандарти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законами,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актами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комплекс,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визначаються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необхідними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особливої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-сироти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позбавлені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батьківського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піклування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діти-інваліди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 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пункту 19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першої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Закону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«Про статус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ветеранів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ійни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один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(пропав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безвісти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антитерористичних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збройних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конфліктів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помер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контузії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каліцтва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антитерористичних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збройних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конфліктів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антитерористичній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один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масових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протесту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помер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поранення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контузії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каліцтва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одержаних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протесту;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зареєстровані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внутрішньо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переміщені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особи; 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потерпілі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наслідків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Чорнобильської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катастрофи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батьки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загинули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нещасних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виробництві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багатодітних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малозабезпечених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сімей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талановиті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обдаровані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переможці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міжнародних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всеукраїнських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олімпіад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фестивалів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змагань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спартакіад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відмінники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лідери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громадських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бездоглядні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безпритульні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постраждали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внаслідок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стихійного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лиха,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техногенних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аварій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катастроф;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агропромислового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комплексу та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села;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психічними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потребами,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закладах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індивідуального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догляду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Дитячий заклад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тимчасово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діючий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організований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пристосований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призначений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розташування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матеріально-технічну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базу,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кадрове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ієнічного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спортивного характеру,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зміцнення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здійснюються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Оздоровча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</w:t>
      </w:r>
      <w:proofErr w:type="gram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21 дня,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отримує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ієнічного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спортивного характеру,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надаються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закладом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поліпшення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психічного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ільна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туристична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спортивна,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біологів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математиків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екологів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дитячому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отримує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здібностей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81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Тематична</w:t>
      </w:r>
      <w:proofErr w:type="spellEnd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відпочинкова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отримує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здібностей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позашкільної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фізичної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спорту,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реабілітації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спеціальною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 </w:t>
      </w:r>
    </w:p>
    <w:p w:rsidR="00C074A1" w:rsidRPr="00C074A1" w:rsidRDefault="00C074A1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ІІІ. Мета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C074A1" w:rsidRP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Метою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є:</w:t>
      </w:r>
      <w:proofErr w:type="gramEnd"/>
    </w:p>
    <w:p w:rsidR="00C074A1" w:rsidRPr="00C074A1" w:rsidRDefault="00C074A1" w:rsidP="00C074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повноцінного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охоплених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організованими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формами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покращання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матеріально-технічної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кваліфікації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для 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діючих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C074A1" w:rsidRDefault="00C074A1" w:rsidP="00C07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ІV.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Обґрунтування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шляхів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засобів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розв’язання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обсягі</w:t>
      </w:r>
      <w:proofErr w:type="gram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proofErr w:type="gram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джерел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строки та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етапи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</w:p>
    <w:p w:rsidR="008E7F5D" w:rsidRPr="008E7F5D" w:rsidRDefault="008E7F5D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дозволить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поступово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вирішити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рограма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-2020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комплекс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шляхом:</w:t>
      </w:r>
    </w:p>
    <w:p w:rsidR="00C074A1" w:rsidRPr="00C074A1" w:rsidRDefault="00C074A1" w:rsidP="00C074A1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</w:t>
      </w:r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тячих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4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громади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належних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функціонування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придбання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путівок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місцевих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бюджеті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семінарів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методистів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numPr>
          <w:ilvl w:val="0"/>
          <w:numId w:val="5"/>
        </w:numPr>
        <w:spacing w:after="0" w:line="48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поширення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</w:p>
    <w:p w:rsidR="00C074A1" w:rsidRPr="00C074A1" w:rsidRDefault="00C074A1" w:rsidP="00C074A1">
      <w:p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   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довгостроковою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розроблена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період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2020 року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8E7F5D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Фінансування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хунок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міськ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uk-UA" w:eastAsia="ru-RU"/>
        </w:rPr>
      </w:pP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Обсяг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визначається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щорічн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формування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="00010449"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фінансових</w:t>
      </w:r>
      <w:proofErr w:type="spellEnd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E7F5D" w:rsidRPr="008E7F5D" w:rsidRDefault="008E7F5D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C074A1" w:rsidRDefault="00C074A1" w:rsidP="00C074A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результативні</w:t>
      </w:r>
      <w:proofErr w:type="spellEnd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показники</w:t>
      </w:r>
      <w:proofErr w:type="spellEnd"/>
    </w:p>
    <w:p w:rsidR="008E7F5D" w:rsidRPr="008E7F5D" w:rsidRDefault="008E7F5D" w:rsidP="00C074A1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C074A1" w:rsidRPr="00C074A1" w:rsidRDefault="00CD2AA3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Протягом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-2020 </w:t>
      </w:r>
      <w:proofErr w:type="spellStart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планується</w:t>
      </w:r>
      <w:proofErr w:type="spellEnd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здійснити</w:t>
      </w:r>
      <w:proofErr w:type="spellEnd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="00C074A1"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заходи: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повноцінного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особливої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іальної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шляхом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придбання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путівок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ласті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коштів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бюджет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семінарів-навчань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методистів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вихователів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ірок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району;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переможців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літнього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розробка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інформаційно-методичної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літератури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сфері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ind w:firstLine="90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інформування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дитячу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оздоровчу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базу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 межами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074A1" w:rsidRPr="00C074A1" w:rsidRDefault="00C074A1" w:rsidP="00C074A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proofErr w:type="gram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планується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щорічне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збільшення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надаються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Pr="00063EBF" w:rsidRDefault="00C074A1" w:rsidP="00C074A1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VI. </w:t>
      </w:r>
      <w:proofErr w:type="spellStart"/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заходи </w:t>
      </w:r>
      <w:proofErr w:type="spellStart"/>
      <w:r w:rsidRPr="00063EB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C074A1" w:rsidRDefault="00C074A1" w:rsidP="00C074A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заходи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викладені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додатку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7F5D" w:rsidRPr="008E7F5D" w:rsidRDefault="008E7F5D" w:rsidP="00C074A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</w:p>
    <w:p w:rsidR="00C074A1" w:rsidRDefault="00C074A1" w:rsidP="00C07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VIІ. </w:t>
      </w:r>
      <w:proofErr w:type="spellStart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Координація</w:t>
      </w:r>
      <w:proofErr w:type="spellEnd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gramStart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ходом </w:t>
      </w:r>
      <w:proofErr w:type="spellStart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7F5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8E7F5D" w:rsidRPr="008E7F5D" w:rsidRDefault="008E7F5D" w:rsidP="00C074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ru-RU"/>
        </w:rPr>
      </w:pPr>
    </w:p>
    <w:p w:rsidR="00C074A1" w:rsidRPr="00F1343E" w:rsidRDefault="00C074A1" w:rsidP="00C074A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F13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Функції з координації виконання заходів Програми покладаються на 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освіти,сім</w:t>
      </w:r>
      <w:r w:rsidR="00CD2AA3" w:rsidRPr="00F13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’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ї,молоді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спорту Носівської міської ради</w:t>
      </w:r>
      <w:r w:rsidRPr="00F134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C074A1" w:rsidRPr="00CD2AA3" w:rsidRDefault="00C074A1" w:rsidP="00C074A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покладається</w:t>
      </w:r>
      <w:proofErr w:type="spellEnd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Носівську міську раду 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постійну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комісію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міської 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ради з </w:t>
      </w:r>
      <w:proofErr w:type="spellStart"/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57B3E" w:rsidRPr="00957B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 охорони здоров’я, </w:t>
      </w:r>
      <w:proofErr w:type="gramStart"/>
      <w:r w:rsidR="00957B3E" w:rsidRPr="00957B3E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gramEnd"/>
      <w:r w:rsidR="00957B3E" w:rsidRPr="00957B3E">
        <w:rPr>
          <w:rFonts w:ascii="Times New Roman" w:eastAsia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74A1" w:rsidRDefault="00C074A1" w:rsidP="00C074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 хід реалізації Програми</w:t>
      </w:r>
      <w:r w:rsidRPr="00C07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D2AA3" w:rsidRP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відділ освіти,</w:t>
      </w:r>
      <w:r w:rsid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D2AA3" w:rsidRP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сім’ї,</w:t>
      </w:r>
      <w:r w:rsidR="00957B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CD2AA3" w:rsidRP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молоді та спорту Носівської міської ради</w:t>
      </w:r>
      <w:r w:rsid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звітує перед міською </w:t>
      </w:r>
      <w:r w:rsidRPr="00CD2A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радою.</w:t>
      </w:r>
    </w:p>
    <w:p w:rsidR="00957B3E" w:rsidRDefault="00957B3E" w:rsidP="00C074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57B3E" w:rsidRDefault="00957B3E" w:rsidP="00C074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957B3E" w:rsidRPr="00CD2AA3" w:rsidRDefault="00A257D1" w:rsidP="00957B3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Секретар міської ради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Л.М.Недолуга</w:t>
      </w:r>
    </w:p>
    <w:sectPr w:rsidR="00957B3E" w:rsidRPr="00CD2AA3" w:rsidSect="00957B3E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2C"/>
    <w:multiLevelType w:val="multilevel"/>
    <w:tmpl w:val="11D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424"/>
    <w:multiLevelType w:val="hybridMultilevel"/>
    <w:tmpl w:val="8A34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27F"/>
    <w:multiLevelType w:val="multilevel"/>
    <w:tmpl w:val="FA8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51F98"/>
    <w:multiLevelType w:val="multilevel"/>
    <w:tmpl w:val="9F5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359E9"/>
    <w:multiLevelType w:val="multilevel"/>
    <w:tmpl w:val="064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55AC9"/>
    <w:multiLevelType w:val="multilevel"/>
    <w:tmpl w:val="4CA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F"/>
    <w:rsid w:val="00010449"/>
    <w:rsid w:val="00047F23"/>
    <w:rsid w:val="00063EBF"/>
    <w:rsid w:val="000B7696"/>
    <w:rsid w:val="00100855"/>
    <w:rsid w:val="00141CCA"/>
    <w:rsid w:val="003018CB"/>
    <w:rsid w:val="00424E06"/>
    <w:rsid w:val="00456151"/>
    <w:rsid w:val="00575A8F"/>
    <w:rsid w:val="006A2BCC"/>
    <w:rsid w:val="00733903"/>
    <w:rsid w:val="00742D40"/>
    <w:rsid w:val="00754204"/>
    <w:rsid w:val="008E7F5D"/>
    <w:rsid w:val="00957B3E"/>
    <w:rsid w:val="00A257D1"/>
    <w:rsid w:val="00C074A1"/>
    <w:rsid w:val="00CD2AA3"/>
    <w:rsid w:val="00F1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074A1"/>
  </w:style>
  <w:style w:type="character" w:customStyle="1" w:styleId="apple-converted-space">
    <w:name w:val="apple-converted-space"/>
    <w:basedOn w:val="a0"/>
    <w:rsid w:val="00C074A1"/>
  </w:style>
  <w:style w:type="character" w:styleId="a3">
    <w:name w:val="Hyperlink"/>
    <w:basedOn w:val="a0"/>
    <w:uiPriority w:val="99"/>
    <w:semiHidden/>
    <w:unhideWhenUsed/>
    <w:rsid w:val="00C074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4A1"/>
    <w:rPr>
      <w:b/>
      <w:bCs/>
    </w:rPr>
  </w:style>
  <w:style w:type="character" w:styleId="a6">
    <w:name w:val="Emphasis"/>
    <w:basedOn w:val="a0"/>
    <w:uiPriority w:val="20"/>
    <w:qFormat/>
    <w:rsid w:val="00C074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4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074A1"/>
  </w:style>
  <w:style w:type="character" w:customStyle="1" w:styleId="apple-converted-space">
    <w:name w:val="apple-converted-space"/>
    <w:basedOn w:val="a0"/>
    <w:rsid w:val="00C074A1"/>
  </w:style>
  <w:style w:type="character" w:styleId="a3">
    <w:name w:val="Hyperlink"/>
    <w:basedOn w:val="a0"/>
    <w:uiPriority w:val="99"/>
    <w:semiHidden/>
    <w:unhideWhenUsed/>
    <w:rsid w:val="00C074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4A1"/>
    <w:rPr>
      <w:b/>
      <w:bCs/>
    </w:rPr>
  </w:style>
  <w:style w:type="character" w:styleId="a6">
    <w:name w:val="Emphasis"/>
    <w:basedOn w:val="a0"/>
    <w:uiPriority w:val="20"/>
    <w:qFormat/>
    <w:rsid w:val="00C074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4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2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0521">
              <w:marLeft w:val="168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5_04_20/KP9703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08_09_04/T08037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DAFD-F5FC-4895-9EF5-11DC6646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2017-05-11T14:55:00Z</cp:lastPrinted>
  <dcterms:created xsi:type="dcterms:W3CDTF">2017-05-16T13:59:00Z</dcterms:created>
  <dcterms:modified xsi:type="dcterms:W3CDTF">2017-05-30T09:18:00Z</dcterms:modified>
</cp:coreProperties>
</file>