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7" w:rsidRDefault="00B432CC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  <w:r w:rsidRPr="00B432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</w:t>
      </w:r>
      <w:r w:rsidR="00F47A8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</w:t>
      </w:r>
      <w:r w:rsidR="00D04887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                                                                      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04887" w:rsidRPr="00D04887" w:rsidTr="00D04887">
        <w:tc>
          <w:tcPr>
            <w:tcW w:w="4360" w:type="dxa"/>
          </w:tcPr>
          <w:p w:rsidR="00D04887" w:rsidRPr="00D04887" w:rsidRDefault="00150BC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Додаток </w:t>
            </w:r>
          </w:p>
          <w:p w:rsidR="009D4A7E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до </w:t>
            </w: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рішення </w:t>
            </w:r>
            <w:r w:rsidR="00150BC7" w:rsidRP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49 </w:t>
            </w:r>
            <w:r w:rsid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сесії</w:t>
            </w: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  <w:p w:rsidR="00D04887" w:rsidRPr="009D4A7E" w:rsidRDefault="00D04887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міської ради</w:t>
            </w:r>
            <w:r w:rsid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  7 скликання</w:t>
            </w:r>
          </w:p>
          <w:p w:rsidR="00D04887" w:rsidRPr="00150BC7" w:rsidRDefault="00011DC3" w:rsidP="00D04887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18.01.</w:t>
            </w:r>
            <w:r w:rsid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2019</w:t>
            </w:r>
            <w:r w:rsidR="00D04887" w:rsidRP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р. </w:t>
            </w:r>
            <w:r w:rsidR="00D0488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№2</w:t>
            </w:r>
            <w:r w:rsid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uk-UA" w:eastAsia="ru-RU"/>
              </w:rPr>
              <w:t>/49/</w:t>
            </w:r>
            <w:r w:rsidR="00150BC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val="en-US" w:eastAsia="ru-RU"/>
              </w:rPr>
              <w:t>VII</w:t>
            </w:r>
          </w:p>
        </w:tc>
      </w:tr>
    </w:tbl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D04887" w:rsidRDefault="00D04887" w:rsidP="00F47A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</w:pPr>
    </w:p>
    <w:p w:rsidR="00B432CC" w:rsidRPr="00F47A8C" w:rsidRDefault="00D04887" w:rsidP="00D0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val="uk-UA" w:eastAsia="ru-RU"/>
        </w:rPr>
        <w:t xml:space="preserve"> </w:t>
      </w:r>
    </w:p>
    <w:p w:rsidR="00FF7AE5" w:rsidRDefault="00FF7AE5" w:rsidP="00305432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F47A8C" w:rsidRDefault="00F47A8C" w:rsidP="00707338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ru-RU"/>
        </w:rPr>
      </w:pPr>
    </w:p>
    <w:p w:rsidR="00F47A8C" w:rsidRPr="00D04887" w:rsidRDefault="00F47A8C" w:rsidP="00D04887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val="uk-UA" w:eastAsia="ru-RU"/>
        </w:rPr>
      </w:pPr>
    </w:p>
    <w:p w:rsidR="005601CD" w:rsidRPr="00F47A8C" w:rsidRDefault="00305432" w:rsidP="002B6263">
      <w:pPr>
        <w:shd w:val="clear" w:color="auto" w:fill="FFFFFF"/>
        <w:tabs>
          <w:tab w:val="left" w:pos="2070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ПРОГРАМА</w:t>
      </w:r>
    </w:p>
    <w:p w:rsidR="00F47A8C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«Охорона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культурної спадщини</w:t>
      </w: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</w:p>
    <w:p w:rsidR="00F47A8C" w:rsidRPr="00F47A8C" w:rsidRDefault="002B371F" w:rsidP="00F47A8C">
      <w:pPr>
        <w:shd w:val="clear" w:color="auto" w:fill="FFFFFF"/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</w:t>
      </w:r>
      <w:r w:rsidR="001A03E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Носівськ</w:t>
      </w:r>
      <w:r w:rsidR="00521554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ої територіальної громади</w:t>
      </w:r>
    </w:p>
    <w:p w:rsidR="00305432" w:rsidRPr="00F47A8C" w:rsidRDefault="00B432CC" w:rsidP="00F47A8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40"/>
          <w:szCs w:val="40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9-2021</w:t>
      </w:r>
      <w:r w:rsidR="00305432"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роки</w:t>
      </w:r>
      <w:r w:rsidRPr="00F47A8C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»</w:t>
      </w:r>
    </w:p>
    <w:p w:rsidR="00F47A8C" w:rsidRPr="00F47A8C" w:rsidRDefault="00F47A8C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7A8C" w:rsidRPr="00005B23" w:rsidRDefault="00F47A8C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5B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Носівка</w:t>
      </w:r>
    </w:p>
    <w:p w:rsidR="00F47A8C" w:rsidRPr="00F47A8C" w:rsidRDefault="00F47A8C" w:rsidP="00F47A8C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D04887" w:rsidRDefault="00D04887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04887" w:rsidRDefault="00D04887" w:rsidP="00D04887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32CC" w:rsidRPr="00F47A8C" w:rsidRDefault="00305432" w:rsidP="00707338">
      <w:pPr>
        <w:shd w:val="clear" w:color="auto" w:fill="FFFFFF"/>
        <w:tabs>
          <w:tab w:val="left" w:pos="3405"/>
          <w:tab w:val="center" w:pos="5031"/>
        </w:tabs>
        <w:spacing w:before="240" w:after="24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05432" w:rsidRPr="00F47A8C" w:rsidRDefault="00D04887" w:rsidP="00707338">
      <w:pPr>
        <w:shd w:val="clear" w:color="auto" w:fill="FFFFFF"/>
        <w:tabs>
          <w:tab w:val="left" w:pos="10063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30543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рограми</w:t>
      </w:r>
      <w:proofErr w:type="spellEnd"/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«Охорона кул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ьтурної спадщини 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Носі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99246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ої тери</w:t>
      </w:r>
      <w:r w:rsidR="005215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торіальної громади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201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-202</w:t>
      </w:r>
      <w:r w:rsidR="001638A6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432CC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530"/>
        <w:gridCol w:w="5777"/>
      </w:tblGrid>
      <w:tr w:rsidR="008824D0" w:rsidRPr="008824D0" w:rsidTr="001038E8">
        <w:trPr>
          <w:trHeight w:val="882"/>
          <w:tblCellSpacing w:w="0" w:type="dxa"/>
        </w:trPr>
        <w:tc>
          <w:tcPr>
            <w:tcW w:w="635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777" w:type="dxa"/>
            <w:hideMark/>
          </w:tcPr>
          <w:p w:rsidR="00305432" w:rsidRPr="001038E8" w:rsidRDefault="001038E8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Міська рада</w:t>
            </w:r>
          </w:p>
        </w:tc>
      </w:tr>
      <w:tr w:rsidR="008824D0" w:rsidRPr="008824D0" w:rsidTr="001038E8">
        <w:trPr>
          <w:trHeight w:val="858"/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777" w:type="dxa"/>
            <w:hideMark/>
          </w:tcPr>
          <w:p w:rsidR="00305432" w:rsidRPr="008824D0" w:rsidRDefault="00B432CC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ідділ культури і туризму 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Носівської міської ради 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777" w:type="dxa"/>
            <w:hideMark/>
          </w:tcPr>
          <w:p w:rsidR="00305432" w:rsidRPr="008824D0" w:rsidRDefault="00B432CC" w:rsidP="0010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ідділ культури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туризму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ької міської ради,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ЖКГ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благоустрою виконавчого апарату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F47A8C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91E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 виконавчого апарату,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ідділ освіти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сім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="005155D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ї, молоді та спорту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Носівської міської ради</w:t>
            </w:r>
            <w:r w:rsidR="003B12AF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4F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інформаційної діяльності </w:t>
            </w:r>
            <w:r w:rsidR="0052155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апарату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фінансове управління Носівської міської ради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Етапи виконання Програми</w:t>
            </w:r>
          </w:p>
        </w:tc>
        <w:tc>
          <w:tcPr>
            <w:tcW w:w="5777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етап: 201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="001638A6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етап: 2020–2021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30" w:type="dxa"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джерел фінансування</w:t>
            </w:r>
          </w:p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77" w:type="dxa"/>
          </w:tcPr>
          <w:p w:rsidR="003B12AF" w:rsidRPr="008824D0" w:rsidRDefault="003B12AF" w:rsidP="0010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межах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коштів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B371F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передбачених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виконання програми «Охорони культурної  спадщини Носівської </w:t>
            </w:r>
            <w:r w:rsidR="00CA03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громади  на 2019-2021роки</w:t>
            </w:r>
            <w:r w:rsidR="00150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1038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міському бюджеті, інші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джерел</w:t>
            </w:r>
            <w:r w:rsidR="001A03E2"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83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заборонені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законодавством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B12AF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0" w:type="dxa"/>
            <w:hideMark/>
          </w:tcPr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05432" w:rsidRPr="008824D0" w:rsidRDefault="00305432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7" w:type="dxa"/>
            <w:hideMark/>
          </w:tcPr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  <w:p w:rsidR="00305432" w:rsidRPr="008824D0" w:rsidRDefault="00305432" w:rsidP="008B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1A03E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</w:t>
            </w:r>
          </w:p>
          <w:p w:rsidR="00305432" w:rsidRPr="008824D0" w:rsidRDefault="003B12AF" w:rsidP="001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50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300,6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824D0" w:rsidRPr="008824D0" w:rsidTr="001038E8">
        <w:trPr>
          <w:tblCellSpacing w:w="0" w:type="dxa"/>
        </w:trPr>
        <w:tc>
          <w:tcPr>
            <w:tcW w:w="635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530" w:type="dxa"/>
            <w:hideMark/>
          </w:tcPr>
          <w:p w:rsidR="00305432" w:rsidRPr="008824D0" w:rsidRDefault="003B12AF" w:rsidP="0070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</w:t>
            </w: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місцевого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бюджету</w:t>
            </w:r>
          </w:p>
        </w:tc>
        <w:tc>
          <w:tcPr>
            <w:tcW w:w="5777" w:type="dxa"/>
            <w:hideMark/>
          </w:tcPr>
          <w:p w:rsidR="00305432" w:rsidRPr="008824D0" w:rsidRDefault="003B12AF" w:rsidP="0015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150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300,6</w:t>
            </w:r>
            <w:r w:rsidR="00005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432" w:rsidRPr="00882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тис. грн.</w:t>
            </w:r>
            <w:r w:rsidR="00305432" w:rsidRPr="00882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A0C36" w:rsidRDefault="00305432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3054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</w:t>
      </w:r>
      <w:r w:rsidR="001879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:rsidR="00FF7AE5" w:rsidRDefault="00EA0C36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</w:t>
      </w:r>
      <w:r w:rsidR="003B12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  <w:r w:rsidR="0007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                                              </w:t>
      </w: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F7AE5" w:rsidRDefault="00FF7AE5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0753CE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  </w:t>
      </w: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47A8C" w:rsidRPr="009D4A7E" w:rsidRDefault="00F47A8C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bookmarkStart w:id="0" w:name="_GoBack"/>
      <w:bookmarkEnd w:id="0"/>
    </w:p>
    <w:p w:rsidR="003B12AF" w:rsidRPr="008824D0" w:rsidRDefault="000753CE" w:rsidP="00305432">
      <w:pPr>
        <w:shd w:val="clear" w:color="auto" w:fill="FFFFFF"/>
        <w:spacing w:before="240" w:after="24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                        </w:t>
      </w:r>
      <w:r w:rsidR="003B12AF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Вступ</w:t>
      </w:r>
    </w:p>
    <w:p w:rsidR="001879A4" w:rsidRPr="00F47A8C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Культурна спадщина Носівської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територеальної громади</w:t>
      </w:r>
      <w:r w:rsidR="001879A4" w:rsidRPr="00F47A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невід’ємною частиною культурного надбання України, а відтак і світового культурного надбання. Відносини щодо її збереження регулюються Конституцією України, Законом України «Про охорону культурної спадщини», іншими нормативно-правовими актами та міжнародно-правовими зобов’язаннями нашої держави перед світовою спільнотою. </w:t>
      </w:r>
    </w:p>
    <w:p w:rsidR="003B12AF" w:rsidRPr="00F47A8C" w:rsidRDefault="00161E1B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Програма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(далі-Програма)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розроблена відповідно до Законів України «Про місцеве самоврядування в Україні»,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 w:rsidR="003B12A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охорону культурної  </w:t>
      </w:r>
      <w:r w:rsidR="004D6BE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спадщини», «Про охорону археологічної спадщини», «Про культуру», інших нормативних актів.</w:t>
      </w:r>
    </w:p>
    <w:p w:rsidR="004D6BEF" w:rsidRPr="00F47A8C" w:rsidRDefault="00161E1B" w:rsidP="00EE6CD3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Законом України «Про 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місцеве самоврядування в Україні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 п.10,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ст.32) функції забезпечення охорони пам’яток історії та культури покладено на органи місцевого самоврядування, що пер</w:t>
      </w:r>
      <w:r w:rsidR="001A03E2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едбачає розроблення і реалізацію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цілого комплексу заходів за участю органів місцевого самоврядування, виконавчої влади,</w:t>
      </w:r>
      <w:r w:rsidR="002B371F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</w:t>
      </w:r>
      <w:r w:rsidR="0052155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путатів, громадських організацій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суб’єк</w:t>
      </w:r>
      <w:r w:rsidR="00523656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тів господарювання, жителів громади</w:t>
      </w:r>
      <w:r w:rsidR="001879A4" w:rsidRPr="00F47A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5432" w:rsidRPr="00305432" w:rsidRDefault="004D6BEF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1A03E2" w:rsidRPr="00F4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Визначення проблем</w:t>
      </w:r>
      <w:r w:rsidR="001A03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розв’язання як</w:t>
      </w:r>
      <w:r w:rsidR="001A03E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их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спрямована Програма</w:t>
      </w:r>
    </w:p>
    <w:p w:rsidR="004D6BEF" w:rsidRPr="008824D0" w:rsidRDefault="004D6BEF" w:rsidP="000753C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="000753C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умовах ринкових відносин пам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ятки культурної спадщини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розглядати як обєкти, що мають велике соціально-культурне значення та об’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єкти</w:t>
      </w:r>
      <w:r w:rsidR="001879A4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інвестування і розвитку фінансових,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технічних, науково-технологічних засад формування сфери охорони культурної спадщини. Вирішення проблем щодо збереження сфери охорони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ультурної спадщини у Носівської громади</w:t>
      </w:r>
      <w:r w:rsidR="00B27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82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можливе лише за умов розроблення та реалізації цільової програми охорони культурної спадщини.</w:t>
      </w:r>
    </w:p>
    <w:p w:rsidR="001A03E2" w:rsidRPr="008824D0" w:rsidRDefault="001879A4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Одним з основних завдань державної політики у сфері охорони культурної спадщини є здійснення комплексних заходів щодо обліку об’єктів культурної спадщини, які передбачають їх наукове вивчення, класифікацію, державну реєстрацію шляхом занесення до Державного реєстру нерухомих пам’яток України на основі облікової документації (згідно з постановою Кабінету Міністрів України від 27 грудня 2001 року № 1760 «Про затвердження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визначення категорій пам'яток для занесення об'єктів культурної спадщини до Державного реєстру нерухомих пам'яток України»).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ідвищились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оперативного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загрозу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еліоративних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дорожніх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371F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зонах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охоронюваних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територіях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ареалах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 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суцільної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паспортизації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садово-паркового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них, яка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конвенцій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доступності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культурної спадщини.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актуальними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спадщини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громаді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стоїть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консерваційних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археології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протиаварійних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реставраційних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пам’ятках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монументального </w:t>
      </w:r>
      <w:proofErr w:type="spell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1A03E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Носівській громаді на державному обліку перебуває 96 пам’яток культурної спадщини: 62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археології</w:t>
      </w:r>
      <w:r w:rsidR="009F1C3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(1 має статус національного зн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ення)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31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історії, 3- пам’яток монументального мистецтва. </w:t>
      </w:r>
    </w:p>
    <w:p w:rsidR="001A03E2" w:rsidRPr="008824D0" w:rsidRDefault="000753CE" w:rsidP="000753CE">
      <w:pPr>
        <w:shd w:val="clear" w:color="auto" w:fill="FFFFFF"/>
        <w:tabs>
          <w:tab w:val="left" w:pos="426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1A03E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завданнями програми є: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стану (інвентаризації) об’єктів культурної спадщини (археологічних, історичних, монументального мистецтва, архітектури та містобудування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764F37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швидке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різноманітні загрози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об’єктів культурно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найбільш цінних пам’яток для подальшого залучення їх до  туристичних маршрутів, а також для забезпечення уніфікованого електронного обліку наявн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об’єктів культурної спадщини;</w:t>
      </w:r>
    </w:p>
    <w:p w:rsidR="00764F37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площ, їх охоронних зон з подальшим занесенням до Державного реєс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 нерухомих пам’яток України;</w:t>
      </w:r>
    </w:p>
    <w:p w:rsidR="00305432" w:rsidRPr="008824D0" w:rsidRDefault="00305432" w:rsidP="004F1D78">
      <w:pPr>
        <w:pStyle w:val="a3"/>
        <w:numPr>
          <w:ilvl w:val="0"/>
          <w:numId w:val="4"/>
        </w:numPr>
        <w:shd w:val="clear" w:color="auto" w:fill="FFFFFF"/>
        <w:spacing w:before="240" w:after="240" w:line="338" w:lineRule="atLeast"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планувальних обмежень з урахуванням охоронних зон об’єктів культурної спадщини та вимог містобудівної документації на обласному та місцевому рівнях.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432" w:rsidRPr="008824D0" w:rsidRDefault="008A27E1" w:rsidP="00F16DAC">
      <w:pPr>
        <w:shd w:val="clear" w:color="auto" w:fill="FFFFFF"/>
        <w:tabs>
          <w:tab w:val="left" w:pos="600"/>
          <w:tab w:val="center" w:pos="5031"/>
        </w:tabs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Мета Програми</w:t>
      </w:r>
    </w:p>
    <w:p w:rsidR="000D2392" w:rsidRPr="008824D0" w:rsidRDefault="00E01826" w:rsidP="000753CE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246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полягає у створенні умов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забезпечення належного рівня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збереження та використання об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</w:t>
      </w:r>
      <w:proofErr w:type="spellEnd"/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 в суспільному житті.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організаційно-правового, фінансово-економічного та науково-виробничого забезпечення охорони культурної спадщини в інтересах динамічного соціально-культурного та духовного розвитку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2392" w:rsidRPr="008824D0" w:rsidRDefault="000D2392" w:rsidP="000753C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шляхами реалізації Програми є:</w:t>
      </w:r>
    </w:p>
    <w:p w:rsidR="000D2392" w:rsidRPr="008824D0" w:rsidRDefault="00305432" w:rsidP="004F1D78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паспортизації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формування </w:t>
      </w:r>
      <w:r w:rsidR="000753CE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пропозицій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включення цих об’єктів до Державного реєстру нерухомих пам’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України,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впров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адження та налагодження системи обліку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об’єктів культурної спадщини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нення визнач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них історичних подій, видатних постатей в історії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населених пунктів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="000D239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D2392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краєзнав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діяльності;</w:t>
      </w:r>
    </w:p>
    <w:p w:rsidR="00A9365A" w:rsidRPr="008824D0" w:rsidRDefault="000D2392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відповідальності власників та користувачів об’єктів культурної спад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щини за ї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збере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та використання;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ефективності співпраці у сфері охорони культурної спадщини виконавчих органів міської ради;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оцінки пам’яток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балансоутримувачів,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меж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764F37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з охорони культурної спадщини жителів громад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відродження традиції шефства над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23656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A9365A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9365A" w:rsidRPr="008824D0" w:rsidRDefault="00A9365A" w:rsidP="004F1D78">
      <w:pPr>
        <w:pStyle w:val="a3"/>
        <w:numPr>
          <w:ilvl w:val="0"/>
          <w:numId w:val="5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розвитку туристичної сфери на території громад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371F" w:rsidRPr="008824D0" w:rsidRDefault="002B371F" w:rsidP="002B371F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3CE" w:rsidRDefault="007B63FB" w:rsidP="00305432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</w:p>
    <w:p w:rsidR="007B63FB" w:rsidRPr="008824D0" w:rsidRDefault="007A0DDD" w:rsidP="00F16DAC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</w:t>
      </w:r>
      <w:r w:rsidR="007B63FB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.Очікувані рез</w:t>
      </w:r>
      <w:r w:rsidR="00F16DAC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ультати від реалізації П</w:t>
      </w:r>
      <w:r w:rsidR="002B371F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рограми</w:t>
      </w:r>
    </w:p>
    <w:p w:rsidR="00764F37" w:rsidRPr="008824D0" w:rsidRDefault="00764F3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сфери охорони культурної спадщини ресу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F09B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інтелектуального та економічного потенціалу.</w:t>
      </w:r>
    </w:p>
    <w:p w:rsidR="002B371F" w:rsidRPr="008824D0" w:rsidRDefault="007F09B7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програм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має дати поштовх пози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тивним зрушенням у сфері збереження об’єктів культурної спадщини,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усвідомлення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жителями громади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необхідності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яток для нинішн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майбут</w:t>
      </w:r>
      <w:r w:rsidR="00521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ього поколінь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важливого чинника патріотичного виховання громадян, розвитку національної свідомості </w:t>
      </w:r>
      <w:r w:rsidR="002B371F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4F37" w:rsidRPr="008824D0" w:rsidRDefault="00F87EC5" w:rsidP="000753CE">
      <w:pPr>
        <w:shd w:val="clear" w:color="auto" w:fill="FFFFFF"/>
        <w:spacing w:after="0" w:line="338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рограми сприятиме </w:t>
      </w:r>
      <w:r w:rsidR="00764F37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поліпшенню фінансування засобів із збереження та використання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яток, </w:t>
      </w:r>
    </w:p>
    <w:p w:rsidR="00BD3C09" w:rsidRPr="008824D0" w:rsidRDefault="00BD3C09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залученню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на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яткоохоронні заходи,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спрямовані на збереження пам</w:t>
      </w:r>
      <w:r w:rsidR="00521554" w:rsidRPr="0052155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яток , </w:t>
      </w:r>
    </w:p>
    <w:p w:rsidR="00BD3C09" w:rsidRPr="008824D0" w:rsidRDefault="00F87EC5" w:rsidP="004F1D78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туристичної галузі та інфраструктури в цілому.</w:t>
      </w:r>
    </w:p>
    <w:p w:rsidR="00F87EC5" w:rsidRPr="008824D0" w:rsidRDefault="00400EB9" w:rsidP="00400EB9">
      <w:pPr>
        <w:shd w:val="clear" w:color="auto" w:fill="FFFFFF"/>
        <w:spacing w:after="0" w:line="338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</w:t>
      </w:r>
      <w:r w:rsidR="00BD3C0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дозволить вирішити так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завдання: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моніторингу  стану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спадщини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першочергових заходів з визначення вартості об</w:t>
      </w:r>
      <w:r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культурної  спадщини та встановлення балансоутримувача;</w:t>
      </w:r>
    </w:p>
    <w:p w:rsidR="00400EB9" w:rsidRPr="008824D0" w:rsidRDefault="00400EB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заходів з реалізації програми паспортизації об’єктів культурної спадщини, укладання сучасної облікової  документації.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комплексної  системи охорони культурної спадщини;</w:t>
      </w:r>
    </w:p>
    <w:p w:rsidR="00F87EC5" w:rsidRPr="008824D0" w:rsidRDefault="00F87EC5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туристичної  інфраструктури громади;</w:t>
      </w:r>
    </w:p>
    <w:p w:rsidR="00F87EC5" w:rsidRPr="008824D0" w:rsidRDefault="00BD3C09" w:rsidP="004F1D78">
      <w:pPr>
        <w:pStyle w:val="a3"/>
        <w:numPr>
          <w:ilvl w:val="0"/>
          <w:numId w:val="7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врахування органами місцевого са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моврядування, органами виконавчої влади,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 господарювання всіх форм власності,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нізаціями, установами, громадяна</w:t>
      </w:r>
      <w:r w:rsidR="00F87EC5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r w:rsidR="00400EB9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своїй діяльності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відповідальності  стосовно об’єктів</w:t>
      </w:r>
      <w:r w:rsidR="00777A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культурної спадщини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6DAC" w:rsidRPr="007B3C5D" w:rsidRDefault="00F16DAC" w:rsidP="004F1D78">
      <w:pPr>
        <w:pStyle w:val="a3"/>
        <w:shd w:val="clear" w:color="auto" w:fill="FFFFFF"/>
        <w:spacing w:after="0" w:line="338" w:lineRule="atLeast"/>
        <w:ind w:left="6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E6CD3" w:rsidRPr="008824D0" w:rsidRDefault="00EE6CD3" w:rsidP="008824D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11D28" w:rsidRPr="008824D0" w:rsidRDefault="007A0DDD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400EB9" w:rsidRPr="00882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.Фінансове забезпечення</w:t>
      </w:r>
    </w:p>
    <w:p w:rsidR="008824D0" w:rsidRPr="008824D0" w:rsidRDefault="008824D0" w:rsidP="00F16DAC">
      <w:pPr>
        <w:shd w:val="clear" w:color="auto" w:fill="FFFFFF"/>
        <w:spacing w:after="0" w:line="338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432" w:rsidRPr="008824D0" w:rsidRDefault="00F37A8D" w:rsidP="007B3C5D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заходів, передбачених Програмою, буде здійснюватись за рахунок кош</w:t>
      </w:r>
      <w:r w:rsidR="00711D28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тів </w:t>
      </w:r>
      <w:r w:rsidR="0084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 та інших джерел відповідно до чинного законодавства, в т.ч. шляхом залучення інвестицій та грантів.</w:t>
      </w:r>
    </w:p>
    <w:p w:rsidR="00305432" w:rsidRDefault="0099246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580" w:rsidRPr="0013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300.6</w:t>
      </w:r>
      <w:r w:rsid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B108A4" w:rsidRPr="00B10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05432" w:rsidRPr="00B10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2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т.ч. в розрізі переліку заходів з</w:t>
      </w:r>
      <w:r w:rsidR="002E3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гідно з додатком</w:t>
      </w:r>
      <w:r w:rsidR="00150B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="002E36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Default="001038E8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38E8" w:rsidRPr="001038E8" w:rsidRDefault="001038E8" w:rsidP="001038E8">
      <w:pPr>
        <w:shd w:val="clear" w:color="auto" w:fill="FFFFFF"/>
        <w:tabs>
          <w:tab w:val="left" w:pos="9150"/>
        </w:tabs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sz w:val="23"/>
          <w:szCs w:val="23"/>
          <w:lang w:val="uk-UA" w:eastAsia="ru-RU"/>
        </w:rPr>
        <w:t xml:space="preserve">                                                                                                                            Додаток 1</w:t>
      </w:r>
    </w:p>
    <w:p w:rsidR="00523656" w:rsidRPr="00523656" w:rsidRDefault="00523656" w:rsidP="007B3C5D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851"/>
        <w:gridCol w:w="992"/>
        <w:gridCol w:w="992"/>
        <w:gridCol w:w="1985"/>
      </w:tblGrid>
      <w:tr w:rsidR="008824D0" w:rsidRPr="008824D0" w:rsidTr="00F9686C">
        <w:tc>
          <w:tcPr>
            <w:tcW w:w="568" w:type="dxa"/>
            <w:vMerge w:val="restart"/>
          </w:tcPr>
          <w:p w:rsidR="00790A16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00EB9" w:rsidRPr="008824D0" w:rsidRDefault="00400EB9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44" w:type="dxa"/>
            <w:vMerge w:val="restart"/>
          </w:tcPr>
          <w:p w:rsidR="00283778" w:rsidRPr="008824D0" w:rsidRDefault="00283778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Термін</w:t>
            </w:r>
          </w:p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2835" w:type="dxa"/>
            <w:gridSpan w:val="3"/>
          </w:tcPr>
          <w:p w:rsidR="00790A16" w:rsidRPr="008824D0" w:rsidRDefault="00790A16" w:rsidP="00400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Орієнтовний обсяг коштів(тис.грн.)</w:t>
            </w:r>
          </w:p>
        </w:tc>
        <w:tc>
          <w:tcPr>
            <w:tcW w:w="1985" w:type="dxa"/>
            <w:vMerge w:val="restart"/>
          </w:tcPr>
          <w:p w:rsidR="00790A16" w:rsidRPr="008824D0" w:rsidRDefault="00790A16" w:rsidP="009F1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90A16" w:rsidRPr="008824D0" w:rsidRDefault="00790A16" w:rsidP="00400EB9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824D0" w:rsidRPr="008824D0" w:rsidTr="00F9686C">
        <w:trPr>
          <w:trHeight w:val="732"/>
        </w:trPr>
        <w:tc>
          <w:tcPr>
            <w:tcW w:w="568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ind w:left="-1488" w:firstLine="148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="00400EB9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992" w:type="dxa"/>
          </w:tcPr>
          <w:p w:rsidR="00790A16" w:rsidRPr="008824D0" w:rsidRDefault="001638A6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  <w:r w:rsidR="00790A16" w:rsidRPr="00882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р.</w:t>
            </w:r>
          </w:p>
        </w:tc>
        <w:tc>
          <w:tcPr>
            <w:tcW w:w="1985" w:type="dxa"/>
            <w:vMerge/>
          </w:tcPr>
          <w:p w:rsidR="00790A16" w:rsidRPr="008824D0" w:rsidRDefault="00790A16" w:rsidP="007B3C5D">
            <w:pPr>
              <w:spacing w:before="240" w:after="240" w:line="338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3544" w:type="dxa"/>
          </w:tcPr>
          <w:p w:rsidR="00790A16" w:rsidRPr="008824D0" w:rsidRDefault="00790A1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Здійснення моніторингу стану об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 культурної спадщини та їх інвентаризація</w:t>
            </w:r>
          </w:p>
        </w:tc>
        <w:tc>
          <w:tcPr>
            <w:tcW w:w="1417" w:type="dxa"/>
          </w:tcPr>
          <w:p w:rsidR="00790A16" w:rsidRPr="008824D0" w:rsidRDefault="00790A1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091E9C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091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виконавчого апарату Носівської</w:t>
            </w:r>
            <w:r w:rsidR="00091E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90A16" w:rsidRPr="008824D0" w:rsidRDefault="00F37A8D" w:rsidP="002B626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Оновлення </w:t>
            </w:r>
            <w:r w:rsidR="001638A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аспор</w:t>
            </w:r>
            <w:r w:rsidR="002B62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тів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7C332F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культурної спадщини громади</w:t>
            </w:r>
          </w:p>
        </w:tc>
        <w:tc>
          <w:tcPr>
            <w:tcW w:w="1417" w:type="dxa"/>
          </w:tcPr>
          <w:p w:rsidR="00790A16" w:rsidRPr="008824D0" w:rsidRDefault="00091E9C" w:rsidP="00091E9C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майнової цінності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міста та їх балансової належності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Укладення охоронних договорів на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єкти культурної спадщини щодо режиму їх використання та охоронних зон</w:t>
            </w:r>
          </w:p>
        </w:tc>
        <w:tc>
          <w:tcPr>
            <w:tcW w:w="1417" w:type="dxa"/>
          </w:tcPr>
          <w:p w:rsidR="00790A16" w:rsidRPr="008824D0" w:rsidRDefault="00091E9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790A16" w:rsidRPr="008824D0" w:rsidRDefault="00F37A8D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проведенню інвентаризації земель історико-культурного призначення під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визначення відповідних суб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землекористування</w:t>
            </w:r>
          </w:p>
        </w:tc>
        <w:tc>
          <w:tcPr>
            <w:tcW w:w="1417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труктурні підрозділи виконавчого 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F37A8D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Підготовлення пропозиції та необхідної науково-облікової документації для включення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до Державного реєстру нерухомих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 України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Виготовлення та встановлення на вулицях міста дорожніх вказівників до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яток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культурної спадщини</w:t>
            </w:r>
          </w:p>
        </w:tc>
        <w:tc>
          <w:tcPr>
            <w:tcW w:w="1417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постійно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0,8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021C9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790A16" w:rsidRPr="008824D0" w:rsidRDefault="00021C98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та встановлення в центрі міста та на в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їздах з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боку м.Києва і м.Ніжина стендів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туристичної карти громади з найбільш важливими туристичними маршрутами і позначенням культурних та історичних 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яток</w:t>
            </w:r>
          </w:p>
        </w:tc>
        <w:tc>
          <w:tcPr>
            <w:tcW w:w="1417" w:type="dxa"/>
          </w:tcPr>
          <w:p w:rsidR="00790A16" w:rsidRPr="008824D0" w:rsidRDefault="002B6263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До 2021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р.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F9686C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021C9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9.</w:t>
            </w:r>
          </w:p>
        </w:tc>
        <w:tc>
          <w:tcPr>
            <w:tcW w:w="3544" w:type="dxa"/>
          </w:tcPr>
          <w:p w:rsidR="00790A16" w:rsidRPr="008824D0" w:rsidRDefault="00984A39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Сприяння встановленню підприємствами,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установами,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громадянами шефства над об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єктами культурної спадщини, підтримка участі молоді в соціально-корисних роботах зі збереження та встановлення об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єктів культурної спадщини</w:t>
            </w:r>
          </w:p>
        </w:tc>
        <w:tc>
          <w:tcPr>
            <w:tcW w:w="1417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790A16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790A16" w:rsidRPr="008824D0" w:rsidRDefault="00984A39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3544" w:type="dxa"/>
          </w:tcPr>
          <w:p w:rsidR="00790A16" w:rsidRPr="008824D0" w:rsidRDefault="002C7255" w:rsidP="00777AD0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Установлення пам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знак</w:t>
            </w:r>
            <w:r w:rsidR="00777AD0">
              <w:rPr>
                <w:rFonts w:ascii="Times New Roman" w:eastAsia="Times New Roman" w:hAnsi="Times New Roman" w:cs="Times New Roman"/>
                <w:lang w:val="uk-UA" w:eastAsia="ru-RU"/>
              </w:rPr>
              <w:t>ів,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меморіальних</w:t>
            </w:r>
            <w:r w:rsidR="00F9686C" w:rsidRPr="008824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дощок</w:t>
            </w:r>
          </w:p>
        </w:tc>
        <w:tc>
          <w:tcPr>
            <w:tcW w:w="1417" w:type="dxa"/>
          </w:tcPr>
          <w:p w:rsidR="00790A16" w:rsidRPr="008824D0" w:rsidRDefault="00777AD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при потребі</w:t>
            </w:r>
          </w:p>
        </w:tc>
        <w:tc>
          <w:tcPr>
            <w:tcW w:w="851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992" w:type="dxa"/>
          </w:tcPr>
          <w:p w:rsidR="00790A16" w:rsidRPr="008824D0" w:rsidRDefault="007C332F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BF0CC9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3544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Участь у виставках,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мистецьких пр</w:t>
            </w:r>
            <w:r w:rsidR="00A72B2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ектах,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науково-практичних конференціях,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семінарах,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презентаціях з питань охорони культурної спадщини,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озвитку туристичної інфраструкти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3544" w:type="dxa"/>
          </w:tcPr>
          <w:p w:rsidR="002C7255" w:rsidRPr="008824D0" w:rsidRDefault="002C7255" w:rsidP="00DE2E7F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видання рекламної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продукції</w:t>
            </w:r>
            <w:r w:rsidR="001038E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туристичного напрямку 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краєзнавчої поліграфічної,</w:t>
            </w:r>
            <w:r w:rsidR="00F9686C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фотоальбомів пам’яток культурної спадщини громади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6,0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992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2C7255" w:rsidRPr="008824D0">
              <w:rPr>
                <w:rFonts w:ascii="Times New Roman" w:eastAsia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CA03C8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  <w:tc>
          <w:tcPr>
            <w:tcW w:w="3544" w:type="dxa"/>
          </w:tcPr>
          <w:p w:rsidR="002C7255" w:rsidRPr="008824D0" w:rsidRDefault="00F9686C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Розмі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щення інформації про об’єкти культурної спадщини,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розроблення інтерактивної карти міста на веб-сторінці Носівської міської ради</w:t>
            </w:r>
          </w:p>
        </w:tc>
        <w:tc>
          <w:tcPr>
            <w:tcW w:w="1417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постійно</w:t>
            </w:r>
          </w:p>
        </w:tc>
        <w:tc>
          <w:tcPr>
            <w:tcW w:w="851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92" w:type="dxa"/>
          </w:tcPr>
          <w:p w:rsidR="002C7255" w:rsidRPr="008824D0" w:rsidRDefault="0099246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виканавчого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BF0CC9" w:rsidTr="00F9686C">
        <w:tc>
          <w:tcPr>
            <w:tcW w:w="568" w:type="dxa"/>
          </w:tcPr>
          <w:p w:rsidR="002C7255" w:rsidRPr="008824D0" w:rsidRDefault="00523656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2C7255" w:rsidRPr="008824D0" w:rsidRDefault="00DE2E7F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Модернизація</w:t>
            </w:r>
            <w:r w:rsidR="00091E9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992466" w:rsidRPr="008824D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пам</w:t>
            </w:r>
            <w:r w:rsidR="00992466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317CC8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ятників</w:t>
            </w:r>
            <w:r w:rsidR="00523656" w:rsidRPr="008824D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с.Ясна Зірка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радянським воїнам»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с.Деброво «Пам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131 воїнам односельчанам»</w:t>
            </w:r>
          </w:p>
          <w:p w:rsidR="00523656" w:rsidRPr="008824D0" w:rsidRDefault="00523656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с.Володькова Дівиця «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Пам</w:t>
            </w:r>
            <w:r w:rsidR="008D6FA3"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="008D6FA3"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ятний знак 1206  воїнам-односельчанам»</w:t>
            </w:r>
          </w:p>
          <w:p w:rsidR="00523656" w:rsidRPr="008824D0" w:rsidRDefault="008D6FA3" w:rsidP="008D6FA3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с.Яблунівка «Пам</w:t>
            </w:r>
            <w:r w:rsidRPr="008824D0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8824D0">
              <w:rPr>
                <w:rFonts w:ascii="Times New Roman" w:eastAsia="Times New Roman" w:hAnsi="Times New Roman" w:cs="Times New Roman"/>
                <w:lang w:val="uk-UA" w:eastAsia="ru-RU"/>
              </w:rPr>
              <w:t>яний знак радянським воїнам»</w:t>
            </w:r>
          </w:p>
        </w:tc>
        <w:tc>
          <w:tcPr>
            <w:tcW w:w="1417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2C7255" w:rsidRPr="008824D0" w:rsidRDefault="002C725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D6FA3" w:rsidRPr="008824D0" w:rsidRDefault="0013058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37.0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130580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42.0</w:t>
            </w: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</w:tcPr>
          <w:p w:rsidR="003145D5" w:rsidRPr="008824D0" w:rsidRDefault="003145D5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7CC8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C7255" w:rsidRPr="008824D0" w:rsidRDefault="00130580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138.0</w:t>
            </w: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3145D5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45D5" w:rsidRPr="008824D0" w:rsidRDefault="00130580" w:rsidP="008824D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42.0</w:t>
            </w:r>
          </w:p>
        </w:tc>
        <w:tc>
          <w:tcPr>
            <w:tcW w:w="992" w:type="dxa"/>
          </w:tcPr>
          <w:p w:rsidR="002C7255" w:rsidRPr="008824D0" w:rsidRDefault="002C7255" w:rsidP="00F9686C">
            <w:pPr>
              <w:spacing w:after="240" w:line="338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7CC8" w:rsidRPr="008824D0" w:rsidRDefault="00317CC8" w:rsidP="008824D0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24D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985" w:type="dxa"/>
          </w:tcPr>
          <w:p w:rsidR="002C7255" w:rsidRPr="008824D0" w:rsidRDefault="00CA03C8" w:rsidP="00CA03C8">
            <w:pPr>
              <w:spacing w:after="240" w:line="338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труктурні підрозділи </w:t>
            </w:r>
            <w:r w:rsidR="00BF0C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виконавчого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апарату Носівської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824D0" w:rsidRPr="008824D0" w:rsidTr="00F9686C">
        <w:tc>
          <w:tcPr>
            <w:tcW w:w="568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44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92466" w:rsidRPr="00130580" w:rsidRDefault="00130580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2.8</w:t>
            </w:r>
          </w:p>
        </w:tc>
        <w:tc>
          <w:tcPr>
            <w:tcW w:w="992" w:type="dxa"/>
          </w:tcPr>
          <w:p w:rsidR="008824D0" w:rsidRPr="00130580" w:rsidRDefault="00130580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7.8</w:t>
            </w:r>
          </w:p>
        </w:tc>
        <w:tc>
          <w:tcPr>
            <w:tcW w:w="992" w:type="dxa"/>
          </w:tcPr>
          <w:p w:rsidR="00992466" w:rsidRPr="00005B23" w:rsidRDefault="007C332F" w:rsidP="008824D0">
            <w:pPr>
              <w:spacing w:before="240" w:after="240" w:line="338" w:lineRule="atLeast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05B2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10,0</w:t>
            </w:r>
          </w:p>
        </w:tc>
        <w:tc>
          <w:tcPr>
            <w:tcW w:w="1985" w:type="dxa"/>
          </w:tcPr>
          <w:p w:rsidR="00992466" w:rsidRPr="008824D0" w:rsidRDefault="00992466" w:rsidP="00305432">
            <w:pPr>
              <w:spacing w:before="240" w:after="240" w:line="338" w:lineRule="atLeas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16DAC" w:rsidRDefault="00F16DA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9686C" w:rsidRDefault="00F9686C" w:rsidP="007A0DDD">
      <w:pPr>
        <w:shd w:val="clear" w:color="auto" w:fill="FFFFFF"/>
        <w:spacing w:before="240" w:after="240" w:line="33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05432" w:rsidRPr="008824D0" w:rsidRDefault="007A0DDD" w:rsidP="008824D0">
      <w:pPr>
        <w:shd w:val="clear" w:color="auto" w:fill="FFFFFF"/>
        <w:spacing w:before="240" w:after="240" w:line="338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</w:t>
      </w:r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Координація</w:t>
      </w:r>
      <w:proofErr w:type="spell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gramStart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305432" w:rsidRPr="00882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ходом виконання Програми</w:t>
      </w:r>
    </w:p>
    <w:p w:rsidR="00305432" w:rsidRPr="008824D0" w:rsidRDefault="007A0DDD" w:rsidP="008824D0">
      <w:pPr>
        <w:shd w:val="clear" w:color="auto" w:fill="FFFFFF"/>
        <w:spacing w:after="0" w:line="338" w:lineRule="atLeast"/>
        <w:contextualSpacing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3C5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Координацію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ходом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 міської </w:t>
      </w:r>
      <w:proofErr w:type="gramStart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поданням</w:t>
      </w:r>
      <w:proofErr w:type="spellEnd"/>
      <w:proofErr w:type="gramStart"/>
      <w:r w:rsid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proofErr w:type="gram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ідділу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туризму 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B64" w:rsidRPr="00AA23CB" w:rsidRDefault="007B3C5D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інформують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Носівську</w:t>
      </w:r>
      <w:proofErr w:type="spellEnd"/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3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територіальну громаду</w:t>
      </w:r>
      <w:r w:rsidR="007A0DDD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spellStart"/>
      <w:r w:rsidR="00305432" w:rsidRPr="00882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грудня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686C"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</w:t>
      </w:r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05432" w:rsidRPr="00882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A3A" w:rsidRDefault="00524A3A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4A3A" w:rsidRPr="00524A3A" w:rsidRDefault="00524A3A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8C3A16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23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Начальник відділу культури і туризму</w:t>
      </w:r>
    </w:p>
    <w:p w:rsidR="00AA23CB" w:rsidRPr="00AA23CB" w:rsidRDefault="00AA23CB" w:rsidP="008824D0">
      <w:pPr>
        <w:shd w:val="clear" w:color="auto" w:fill="FFFFFF"/>
        <w:tabs>
          <w:tab w:val="left" w:pos="284"/>
        </w:tabs>
        <w:spacing w:after="0" w:line="338" w:lineRule="atLeast"/>
        <w:contextualSpacing/>
        <w:jc w:val="both"/>
        <w:rPr>
          <w:b/>
          <w:i/>
          <w:lang w:val="uk-UA"/>
        </w:rPr>
      </w:pPr>
      <w:r w:rsidRPr="00AA23C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міської ради                                                                       Л.І.Антонович</w:t>
      </w:r>
    </w:p>
    <w:sectPr w:rsidR="00AA23CB" w:rsidRPr="00AA23CB" w:rsidSect="00F16DA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B8"/>
    <w:multiLevelType w:val="hybridMultilevel"/>
    <w:tmpl w:val="44222AB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53D6117"/>
    <w:multiLevelType w:val="hybridMultilevel"/>
    <w:tmpl w:val="7804A16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8CB78F5"/>
    <w:multiLevelType w:val="hybridMultilevel"/>
    <w:tmpl w:val="D1A43374"/>
    <w:lvl w:ilvl="0" w:tplc="D0A0453E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A050CAD"/>
    <w:multiLevelType w:val="hybridMultilevel"/>
    <w:tmpl w:val="D0F8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881"/>
    <w:multiLevelType w:val="hybridMultilevel"/>
    <w:tmpl w:val="30AEF2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780E06DE"/>
    <w:multiLevelType w:val="hybridMultilevel"/>
    <w:tmpl w:val="6A0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36F07"/>
    <w:multiLevelType w:val="hybridMultilevel"/>
    <w:tmpl w:val="9C4A560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32"/>
    <w:rsid w:val="00005B23"/>
    <w:rsid w:val="00011DC3"/>
    <w:rsid w:val="00021C98"/>
    <w:rsid w:val="000753CE"/>
    <w:rsid w:val="00091E9C"/>
    <w:rsid w:val="000A51C6"/>
    <w:rsid w:val="000D2392"/>
    <w:rsid w:val="001038E8"/>
    <w:rsid w:val="00130580"/>
    <w:rsid w:val="00150BC7"/>
    <w:rsid w:val="00161E1B"/>
    <w:rsid w:val="001638A6"/>
    <w:rsid w:val="001879A4"/>
    <w:rsid w:val="001A03E2"/>
    <w:rsid w:val="00283778"/>
    <w:rsid w:val="002B371F"/>
    <w:rsid w:val="002B6263"/>
    <w:rsid w:val="002C7255"/>
    <w:rsid w:val="002E3600"/>
    <w:rsid w:val="00305432"/>
    <w:rsid w:val="003145D5"/>
    <w:rsid w:val="00317CC8"/>
    <w:rsid w:val="003B12AF"/>
    <w:rsid w:val="00400EB9"/>
    <w:rsid w:val="00413BC2"/>
    <w:rsid w:val="00446662"/>
    <w:rsid w:val="004D6BEF"/>
    <w:rsid w:val="004F1D78"/>
    <w:rsid w:val="005155D6"/>
    <w:rsid w:val="00521554"/>
    <w:rsid w:val="00523656"/>
    <w:rsid w:val="00524A3A"/>
    <w:rsid w:val="005601CD"/>
    <w:rsid w:val="006634C8"/>
    <w:rsid w:val="0069059E"/>
    <w:rsid w:val="006C6E37"/>
    <w:rsid w:val="00707338"/>
    <w:rsid w:val="00711D28"/>
    <w:rsid w:val="007423A9"/>
    <w:rsid w:val="00764F37"/>
    <w:rsid w:val="00777AD0"/>
    <w:rsid w:val="00790A16"/>
    <w:rsid w:val="007A0DDD"/>
    <w:rsid w:val="007B3C5D"/>
    <w:rsid w:val="007B63FB"/>
    <w:rsid w:val="007C332F"/>
    <w:rsid w:val="007F09B7"/>
    <w:rsid w:val="00842867"/>
    <w:rsid w:val="008824D0"/>
    <w:rsid w:val="00887D7B"/>
    <w:rsid w:val="008A27E1"/>
    <w:rsid w:val="008B120D"/>
    <w:rsid w:val="008C3A16"/>
    <w:rsid w:val="008D6FA3"/>
    <w:rsid w:val="00984A39"/>
    <w:rsid w:val="00992466"/>
    <w:rsid w:val="009D4A7E"/>
    <w:rsid w:val="009F1C3E"/>
    <w:rsid w:val="00A72B2C"/>
    <w:rsid w:val="00A8350B"/>
    <w:rsid w:val="00A9365A"/>
    <w:rsid w:val="00AA23CB"/>
    <w:rsid w:val="00B02BAC"/>
    <w:rsid w:val="00B108A4"/>
    <w:rsid w:val="00B27841"/>
    <w:rsid w:val="00B432CC"/>
    <w:rsid w:val="00BD3733"/>
    <w:rsid w:val="00BD3C09"/>
    <w:rsid w:val="00BD4ADA"/>
    <w:rsid w:val="00BF0CC9"/>
    <w:rsid w:val="00C36606"/>
    <w:rsid w:val="00C9081B"/>
    <w:rsid w:val="00CA03C8"/>
    <w:rsid w:val="00D04887"/>
    <w:rsid w:val="00D15B64"/>
    <w:rsid w:val="00DE2E7F"/>
    <w:rsid w:val="00E008D8"/>
    <w:rsid w:val="00E01826"/>
    <w:rsid w:val="00E04F06"/>
    <w:rsid w:val="00EA0C36"/>
    <w:rsid w:val="00EE6CD3"/>
    <w:rsid w:val="00F16DAC"/>
    <w:rsid w:val="00F37A8D"/>
    <w:rsid w:val="00F47A8C"/>
    <w:rsid w:val="00F87EC5"/>
    <w:rsid w:val="00F9686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CC"/>
    <w:pPr>
      <w:ind w:left="720"/>
      <w:contextualSpacing/>
    </w:pPr>
  </w:style>
  <w:style w:type="table" w:styleId="a4">
    <w:name w:val="Table Grid"/>
    <w:basedOn w:val="a1"/>
    <w:uiPriority w:val="59"/>
    <w:rsid w:val="0079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C597-122B-4E5A-9A7B-96ED3ECD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4</cp:revision>
  <cp:lastPrinted>2018-10-22T12:14:00Z</cp:lastPrinted>
  <dcterms:created xsi:type="dcterms:W3CDTF">2019-01-08T12:39:00Z</dcterms:created>
  <dcterms:modified xsi:type="dcterms:W3CDTF">2019-01-21T10:42:00Z</dcterms:modified>
</cp:coreProperties>
</file>